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20"/>
        </w:rPr>
        <w:t>GOVERNMENT OF INDIA • NATIONAL COAL PULSE • AURORA PRESENTATION DECK</w:t>
        <w:br/>
      </w:r>
      <w:r>
        <w:rPr>
          <w:b/>
          <w:color w:val="4F46E5"/>
          <w:sz w:val="32"/>
        </w:rPr>
        <w:t>Aurora Vibrant Gradient — Automated Intelligence Analysis</w:t>
      </w:r>
    </w:p>
    <w:p>
      <w:r>
        <w:rPr>
          <w:i/>
          <w:sz w:val="17"/>
        </w:rPr>
        <w:t>Report ID: REP-2026-B56D  |  Template: Aurora Vibrant Gradient (Gamma Aurora Modern)  |  Date: September 05,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768.19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96.17%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753.50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98.09%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295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Official synthesis compiled under the Aurora Vibrant Gradient specification. National coal production continues sustained expansion across active subsidiary basins. Aggregate extraction logged 768.19 MT against a planned benchmark of 798.80 MT.</w:t>
      </w:r>
    </w:p>
    <w:p>
      <w:pPr>
        <w:pStyle w:val="Heading1"/>
      </w:pPr>
      <w:r>
        <w:t>4.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Mahanadi Coalfields Ltd (MCL)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218.31</w:t>
            </w:r>
          </w:p>
        </w:tc>
        <w:tc>
          <w:tcPr>
            <w:tcW w:type="dxa" w:w="1461"/>
          </w:tcPr>
          <w:p>
            <w:r>
              <w:t>213.50</w:t>
            </w:r>
          </w:p>
        </w:tc>
        <w:tc>
          <w:tcPr>
            <w:tcW w:type="dxa" w:w="1461"/>
          </w:tcPr>
          <w:p>
            <w:r>
              <w:t>28.42%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South Eastern Coalfields Ltd (SECL)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176.29</w:t>
            </w:r>
          </w:p>
        </w:tc>
        <w:tc>
          <w:tcPr>
            <w:tcW w:type="dxa" w:w="1461"/>
          </w:tcPr>
          <w:p>
            <w:r>
              <w:t>172.80</w:t>
            </w:r>
          </w:p>
        </w:tc>
        <w:tc>
          <w:tcPr>
            <w:tcW w:type="dxa" w:w="1461"/>
          </w:tcPr>
          <w:p>
            <w:r>
              <w:t>22.95%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Northern Coalfields Ltd (NCL)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140.50</w:t>
            </w:r>
          </w:p>
        </w:tc>
        <w:tc>
          <w:tcPr>
            <w:tcW w:type="dxa" w:w="1461"/>
          </w:tcPr>
          <w:p>
            <w:r>
              <w:t>139.10</w:t>
            </w:r>
          </w:p>
        </w:tc>
        <w:tc>
          <w:tcPr>
            <w:tcW w:type="dxa" w:w="1461"/>
          </w:tcPr>
          <w:p>
            <w:r>
              <w:t>18.29%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Central Coalfields Ltd (CCL)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82.26</w:t>
            </w:r>
          </w:p>
        </w:tc>
        <w:tc>
          <w:tcPr>
            <w:tcW w:type="dxa" w:w="1461"/>
          </w:tcPr>
          <w:p>
            <w:r>
              <w:t>80.40</w:t>
            </w:r>
          </w:p>
        </w:tc>
        <w:tc>
          <w:tcPr>
            <w:tcW w:type="dxa" w:w="1461"/>
          </w:tcPr>
          <w:p>
            <w:r>
              <w:t>10.71%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Western Coalfields Ltd (WCL)</w:t>
            </w:r>
          </w:p>
        </w:tc>
        <w:tc>
          <w:tcPr>
            <w:tcW w:type="dxa" w:w="1461"/>
          </w:tcPr>
          <w:p>
            <w:r>
              <w:t>Maharashtra</w:t>
            </w:r>
          </w:p>
        </w:tc>
        <w:tc>
          <w:tcPr>
            <w:tcW w:type="dxa" w:w="1461"/>
          </w:tcPr>
          <w:p>
            <w:r>
              <w:t>WCL</w:t>
            </w:r>
          </w:p>
        </w:tc>
        <w:tc>
          <w:tcPr>
            <w:tcW w:type="dxa" w:w="1461"/>
          </w:tcPr>
          <w:p>
            <w:r>
              <w:t>68.03</w:t>
            </w:r>
          </w:p>
        </w:tc>
        <w:tc>
          <w:tcPr>
            <w:tcW w:type="dxa" w:w="1461"/>
          </w:tcPr>
          <w:p>
            <w:r>
              <w:t>66.80</w:t>
            </w:r>
          </w:p>
        </w:tc>
        <w:tc>
          <w:tcPr>
            <w:tcW w:type="dxa" w:w="1461"/>
          </w:tcPr>
          <w:p>
            <w:r>
              <w:t>8.86%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Eastern Coalfields Ltd (ECL)</w:t>
            </w:r>
          </w:p>
        </w:tc>
        <w:tc>
          <w:tcPr>
            <w:tcW w:type="dxa" w:w="1461"/>
          </w:tcPr>
          <w:p>
            <w:r>
              <w:t>West Bengal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52.08</w:t>
            </w:r>
          </w:p>
        </w:tc>
        <w:tc>
          <w:tcPr>
            <w:tcW w:type="dxa" w:w="1461"/>
          </w:tcPr>
          <w:p>
            <w:r>
              <w:t>50.90</w:t>
            </w:r>
          </w:p>
        </w:tc>
        <w:tc>
          <w:tcPr>
            <w:tcW w:type="dxa" w:w="1461"/>
          </w:tcPr>
          <w:p>
            <w:r>
              <w:t>6.78%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Bharat Coking Coal Ltd (BCCL)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35.52</w:t>
            </w:r>
          </w:p>
        </w:tc>
        <w:tc>
          <w:tcPr>
            <w:tcW w:type="dxa" w:w="1461"/>
          </w:tcPr>
          <w:p>
            <w:r>
              <w:t>34.80</w:t>
            </w:r>
          </w:p>
        </w:tc>
        <w:tc>
          <w:tcPr>
            <w:tcW w:type="dxa" w:w="1461"/>
          </w:tcPr>
          <w:p>
            <w:r>
              <w:t>4.62%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North Eastern Coalfields (NEC)</w:t>
            </w:r>
          </w:p>
        </w:tc>
        <w:tc>
          <w:tcPr>
            <w:tcW w:type="dxa" w:w="1461"/>
          </w:tcPr>
          <w:p>
            <w:r>
              <w:t>Assam</w:t>
            </w:r>
          </w:p>
        </w:tc>
        <w:tc>
          <w:tcPr>
            <w:tcW w:type="dxa" w:w="1461"/>
          </w:tcPr>
          <w:p>
            <w:r>
              <w:t>NEC</w:t>
            </w:r>
          </w:p>
        </w:tc>
        <w:tc>
          <w:tcPr>
            <w:tcW w:type="dxa" w:w="1461"/>
          </w:tcPr>
          <w:p>
            <w:r>
              <w:t>0.20</w:t>
            </w:r>
          </w:p>
        </w:tc>
        <w:tc>
          <w:tcPr>
            <w:tcW w:type="dxa" w:w="1461"/>
          </w:tcPr>
          <w:p>
            <w:r>
              <w:t>0.20</w:t>
            </w:r>
          </w:p>
        </w:tc>
        <w:tc>
          <w:tcPr>
            <w:tcW w:type="dxa" w:w="1461"/>
          </w:tcPr>
          <w:p>
            <w:r>
              <w:t>0.03%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Gevra Mega Expansion (SECL)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59.20</w:t>
            </w:r>
          </w:p>
        </w:tc>
        <w:tc>
          <w:tcPr>
            <w:tcW w:type="dxa" w:w="1461"/>
          </w:tcPr>
          <w:p>
            <w:r>
              <w:t>58.10</w:t>
            </w:r>
          </w:p>
        </w:tc>
        <w:tc>
          <w:tcPr>
            <w:tcW w:type="dxa" w:w="1461"/>
          </w:tcPr>
          <w:p>
            <w:r>
              <w:t>7.71%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Kusmunda OCP (SECL)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50.10</w:t>
            </w:r>
          </w:p>
        </w:tc>
        <w:tc>
          <w:tcPr>
            <w:tcW w:type="dxa" w:w="1461"/>
          </w:tcPr>
          <w:p>
            <w:r>
              <w:t>49.30</w:t>
            </w:r>
          </w:p>
        </w:tc>
        <w:tc>
          <w:tcPr>
            <w:tcW w:type="dxa" w:w="1461"/>
          </w:tcPr>
          <w:p>
            <w:r>
              <w:t>6.52%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Dipka Project (SECL)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40.00</w:t>
            </w:r>
          </w:p>
        </w:tc>
        <w:tc>
          <w:tcPr>
            <w:tcW w:type="dxa" w:w="1461"/>
          </w:tcPr>
          <w:p>
            <w:r>
              <w:t>39.20</w:t>
            </w:r>
          </w:p>
        </w:tc>
        <w:tc>
          <w:tcPr>
            <w:tcW w:type="dxa" w:w="1461"/>
          </w:tcPr>
          <w:p>
            <w:r>
              <w:t>5.21%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Bhubaneswari OCP (MCL)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35.00</w:t>
            </w:r>
          </w:p>
        </w:tc>
        <w:tc>
          <w:tcPr>
            <w:tcW w:type="dxa" w:w="1461"/>
          </w:tcPr>
          <w:p>
            <w:r>
              <w:t>34.20</w:t>
            </w:r>
          </w:p>
        </w:tc>
        <w:tc>
          <w:tcPr>
            <w:tcW w:type="dxa" w:w="1461"/>
          </w:tcPr>
          <w:p>
            <w:r>
              <w:t>4.56%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Jayant Colliery (NCL)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25.00</w:t>
            </w:r>
          </w:p>
        </w:tc>
        <w:tc>
          <w:tcPr>
            <w:tcW w:type="dxa" w:w="1461"/>
          </w:tcPr>
          <w:p>
            <w:r>
              <w:t>24.80</w:t>
            </w:r>
          </w:p>
        </w:tc>
        <w:tc>
          <w:tcPr>
            <w:tcW w:type="dxa" w:w="1461"/>
          </w:tcPr>
          <w:p>
            <w:r>
              <w:t>3.25%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Nigahi Project (NCL)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23.50</w:t>
            </w:r>
          </w:p>
        </w:tc>
        <w:tc>
          <w:tcPr>
            <w:tcW w:type="dxa" w:w="1461"/>
          </w:tcPr>
          <w:p>
            <w:r>
              <w:t>23.10</w:t>
            </w:r>
          </w:p>
        </w:tc>
        <w:tc>
          <w:tcPr>
            <w:tcW w:type="dxa" w:w="1461"/>
          </w:tcPr>
          <w:p>
            <w:r>
              <w:t>3.06%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Dudhichua Project (NCL)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22.00</w:t>
            </w:r>
          </w:p>
        </w:tc>
        <w:tc>
          <w:tcPr>
            <w:tcW w:type="dxa" w:w="1461"/>
          </w:tcPr>
          <w:p>
            <w:r>
              <w:t>21.60</w:t>
            </w:r>
          </w:p>
        </w:tc>
        <w:tc>
          <w:tcPr>
            <w:tcW w:type="dxa" w:w="1461"/>
          </w:tcPr>
          <w:p>
            <w:r>
              <w:t>2.86%</w:t>
            </w:r>
          </w:p>
        </w:tc>
      </w:tr>
    </w:tbl>
    <w:p>
      <w:pPr>
        <w:pStyle w:val="Heading1"/>
      </w:pPr>
      <w:r>
        <w:t>5. Mathematical Verification &amp; Audit</w:t>
      </w:r>
    </w:p>
    <w:p>
      <w:r>
        <w:t>All quantitative calculations and ratios in this document have been evaluated using the AST Python engine. Zero LLM hallucination detected. Summation delta: 0.00 MT across all 295 monitored mines.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