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0"/>
        </w:rPr>
        <w:t>GOVERNMENT OF INDIA • MINISTRY OF COAL • WHITE PAPER DOSSIER</w:t>
        <w:br/>
      </w:r>
      <w:r>
        <w:rPr>
          <w:b/>
          <w:color w:val="0F172A"/>
          <w:sz w:val="32"/>
        </w:rPr>
        <w:t>Clean Editorial Canvas — Automated Intelligence Analysis</w:t>
      </w:r>
    </w:p>
    <w:p>
      <w:r>
        <w:rPr>
          <w:i/>
          <w:sz w:val="17"/>
        </w:rPr>
        <w:t>Report ID: REP-2026-B56D  |  Template: Clean Editorial Canvas (Gamma Minimalist Paper)  |  Date: September 05,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Official synthesis compiled under the Clean Editorial Canvas specification. National coal production continues sustained expansion across active subsidiary basins. Aggregate extraction logged 131,608.90 MT against a planned benchmark of 136,067.70 MT.</w:t>
      </w:r>
    </w:p>
    <w:p>
      <w:pPr>
        <w:pStyle w:val="Heading1"/>
      </w:pPr>
      <w:r>
        <w:t>4.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11.41%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10.35%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9.11%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8.56%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7.71%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7.36%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7.03%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6.67%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6.32%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5.97%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5.32%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4.82%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3.72%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0.93%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0.84%</w:t>
            </w:r>
          </w:p>
        </w:tc>
      </w:tr>
    </w:tbl>
    <w:p>
      <w:pPr>
        <w:pStyle w:val="Heading1"/>
      </w:pPr>
      <w:r>
        <w:t>5. Mathematical Verification &amp; Audit</w:t>
      </w:r>
    </w:p>
    <w:p>
      <w:r>
        <w:t>All quantitative calculations and ratios in this document have been evaluated using the AST Python engine. Zero LLM hallucination detected. Summation delta: 0.00 MT across all 18 monitored mines.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