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GOVERNMENT OF INDIA • MINISTRY OF COAL • BENTO OPERATIONAL DECK</w:t>
        <w:br/>
      </w:r>
      <w:r>
        <w:rPr>
          <w:b/>
          <w:color w:val="2563EB"/>
          <w:sz w:val="32"/>
        </w:rPr>
        <w:t>Bento Modular Grid — Automated Intelligence Analysis</w:t>
      </w:r>
    </w:p>
    <w:p>
      <w:r>
        <w:rPr>
          <w:i/>
          <w:sz w:val="17"/>
        </w:rPr>
        <w:t>Report ID: REP-2026-2BC4  |  Template: Bento Modular Grid (Gamma Bento Tech)  |  Date: September 04,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## 1. Macro Operational Baseline &amp; Synthesis</w:t>
        <w:br/>
        <w:t>National coal extraction recorded 131,608.90 MT across 18 monitored production assets. Target benchmark fulfillment reached 96.72%, sustaining critical utility stock buffers above mandated norms. Total pithead dispatch reached 126,491.21 MT with a robust 96.11% offtake efficiency.</w:t>
        <w:br/>
        <w:br/>
        <w:t>## 2. Key Performance Indicators &amp; Benchmark Analytics</w:t>
        <w:br/>
        <w:t>Top producing installations sustained strong operational capacity, led by Gevra Expansion Mine with 15,265.48 MT. Parametric distribution across 18 units reveals a sample mean of 7,311.61 MT, median of 8,450.30 MT, and upper IQR fence at 23,939.55 MT. Units operating at or above this threshold have been prioritized with automated rake evacuation.</w:t>
        <w:br/>
        <w:br/>
        <w:t>## 3. Supply Chain, Logistics &amp; Dispatch Priorities</w:t>
        <w:br/>
        <w:t>• PRIORITY 1: Accelerate First-Mile Connectivity (FMC) rail sidings to enhance pithead evacuation and eliminate accumulation.</w:t>
        <w:br/>
        <w:t>• PRIORITY 2: Standardize continuous surface miner telemetry and digital monitoring across active open-cast extraction benches.</w:t>
        <w:br/>
        <w:t>• PRIORITY 3: Maintain mandatory 24-day normative fuel buffer stocks across all critical thermal power utilities.</w:t>
      </w:r>
    </w:p>
    <w:p>
      <w:pPr>
        <w:pStyle w:val="Heading1"/>
      </w:pPr>
      <w:r>
        <w:t>3.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11.60%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10.52%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9.26%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8.70%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7.84%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7.48%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7.15%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6.78%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6.42%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6.06%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5.41%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4.90%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3.78%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0.94%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0.85%</w:t>
            </w:r>
          </w:p>
        </w:tc>
      </w:tr>
    </w:tbl>
    <w:p>
      <w:pPr>
        <w:pStyle w:val="Heading1"/>
      </w:pPr>
      <w:r>
        <w:t>4.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18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