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47857"/>
          <w:sz w:val="20"/>
        </w:rPr>
        <w:t>GOVERNMENT OF INDIA • NATIONAL COAL ENCLAVE • ESG &amp; ECOLOGICAL STEWARDSHIP</w:t>
        <w:br/>
      </w:r>
      <w:r>
        <w:rPr>
          <w:b/>
          <w:color w:val="047857"/>
          <w:sz w:val="34"/>
        </w:rPr>
        <w:t>ESG &amp; Sustainable Mining Report — Automated Intelligence Analysis</w:t>
      </w:r>
    </w:p>
    <w:p>
      <w:r>
        <w:rPr>
          <w:i/>
          <w:sz w:val="18"/>
        </w:rPr>
        <w:t>Report ID: TEST-esg_sustainable  |  Template: ESG &amp; Sustainable Mining Report (Forest Emerald &amp; Sage)  |  Date: September 04,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Official synthesis compiled under the ESG &amp; Sustainable Mining Report specification. National coal production continues sustained expansion across Coal India Limited (CIL) subsidiaries. The top three open cast mines (Gevra Expansion, Kusmunda, Dipka) contributed over 30% of total national volume. Statistical anomaly checks identified operational variances in underground collieries requiring modern longwall equipment.</w:t>
      </w:r>
    </w:p>
    <w:p>
      <w:pPr>
        <w:pStyle w:val="Heading1"/>
      </w:pPr>
      <w:r>
        <w:t>3.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11.41%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10.35%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9.11%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8.56%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7.71%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7.36%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7.03%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6.67%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6.32%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5.97%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5.32%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4.82%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3.72%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0.93%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0.84%</w:t>
            </w:r>
          </w:p>
        </w:tc>
      </w:tr>
      <w:tr>
        <w:tc>
          <w:tcPr>
            <w:tcW w:type="dxa" w:w="1461"/>
          </w:tcPr>
          <w:p>
            <w:r>
              <w:t>16</w:t>
            </w:r>
          </w:p>
        </w:tc>
        <w:tc>
          <w:tcPr>
            <w:tcW w:type="dxa" w:w="1461"/>
          </w:tcPr>
          <w:p>
            <w:r>
              <w:t>Jhanjra UG Project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1,050.20</w:t>
            </w:r>
          </w:p>
        </w:tc>
        <w:tc>
          <w:tcPr>
            <w:tcW w:type="dxa" w:w="1461"/>
          </w:tcPr>
          <w:p>
            <w:r>
              <w:t>990.00</w:t>
            </w:r>
          </w:p>
        </w:tc>
        <w:tc>
          <w:tcPr>
            <w:tcW w:type="dxa" w:w="1461"/>
          </w:tcPr>
          <w:p>
            <w:r>
              <w:t>0.79%</w:t>
            </w:r>
          </w:p>
        </w:tc>
      </w:tr>
      <w:tr>
        <w:tc>
          <w:tcPr>
            <w:tcW w:type="dxa" w:w="1461"/>
          </w:tcPr>
          <w:p>
            <w:r>
              <w:t>17</w:t>
            </w:r>
          </w:p>
        </w:tc>
        <w:tc>
          <w:tcPr>
            <w:tcW w:type="dxa" w:w="1461"/>
          </w:tcPr>
          <w:p>
            <w:r>
              <w:t>Sonepur Bazari OCP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1,010.50</w:t>
            </w:r>
          </w:p>
        </w:tc>
        <w:tc>
          <w:tcPr>
            <w:tcW w:type="dxa" w:w="1461"/>
          </w:tcPr>
          <w:p>
            <w:r>
              <w:t>940.00</w:t>
            </w:r>
          </w:p>
        </w:tc>
        <w:tc>
          <w:tcPr>
            <w:tcW w:type="dxa" w:w="1461"/>
          </w:tcPr>
          <w:p>
            <w:r>
              <w:t>0.76%</w:t>
            </w:r>
          </w:p>
        </w:tc>
      </w:tr>
      <w:tr>
        <w:tc>
          <w:tcPr>
            <w:tcW w:type="dxa" w:w="1461"/>
          </w:tcPr>
          <w:p>
            <w:r>
              <w:t>18</w:t>
            </w:r>
          </w:p>
        </w:tc>
        <w:tc>
          <w:tcPr>
            <w:tcW w:type="dxa" w:w="1461"/>
          </w:tcPr>
          <w:p>
            <w:r>
              <w:t>Khottadih Underground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966.17</w:t>
            </w:r>
          </w:p>
        </w:tc>
        <w:tc>
          <w:tcPr>
            <w:tcW w:type="dxa" w:w="1461"/>
          </w:tcPr>
          <w:p>
            <w:r>
              <w:t>928.61</w:t>
            </w:r>
          </w:p>
        </w:tc>
        <w:tc>
          <w:tcPr>
            <w:tcW w:type="dxa" w:w="1461"/>
          </w:tcPr>
          <w:p>
            <w:r>
              <w:t>0.72%</w:t>
            </w:r>
          </w:p>
        </w:tc>
      </w:tr>
    </w:tbl>
    <w:p>
      <w:pPr>
        <w:pStyle w:val="Heading1"/>
      </w:pPr>
      <w:r>
        <w:t>4. Mathematical Verification &amp; Audit</w:t>
      </w:r>
    </w:p>
    <w:p>
      <w:r>
        <w:t>All quantitative calculations and ratios in this document have been evaluated using the AST Python engine. Zero LLM hallucination detected. Summation delta: 0.00 MT.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