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Corporate Social Responsibility &amp; Sustainability FY 2023-24</w:t>
      </w:r>
    </w:p>
    <w:p>
      <w:r>
        <w:t>In FY 2023-24, Central Coalfields Limited deployed Rs. 124.50 Crores towards sustainable community initiatives, surpassing the statutory mandate of Rs. 118.20 Crores under Section 135 of the Companies Act.</w:t>
      </w:r>
    </w:p>
    <w:p>
      <w:r>
        <w:t>Flagship healthcare programs provided mobile medical vans covering 182 remote tribal villages. The educational initiative 'CCL ke Lal &amp; Laadli' supported 120 students with free residential coaching for IIT/NEET entrance examinations.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