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54" w:rsidRPr="00D27BEC" w:rsidRDefault="009057C9" w:rsidP="00E906F0">
      <w:pPr>
        <w:spacing w:line="360" w:lineRule="auto"/>
        <w:jc w:val="center"/>
        <w:rPr>
          <w:b/>
          <w:bCs/>
          <w:sz w:val="24"/>
          <w:szCs w:val="24"/>
        </w:rPr>
      </w:pPr>
      <w:r w:rsidRPr="00D27BEC">
        <w:rPr>
          <w:b/>
          <w:bCs/>
          <w:sz w:val="24"/>
          <w:szCs w:val="24"/>
        </w:rPr>
        <w:t>Salary Advance Policy</w:t>
      </w:r>
    </w:p>
    <w:p w:rsidR="006C388C" w:rsidRDefault="004A1377" w:rsidP="00E906F0">
      <w:pPr>
        <w:spacing w:line="360" w:lineRule="auto"/>
        <w:jc w:val="both"/>
        <w:rPr>
          <w:sz w:val="24"/>
          <w:szCs w:val="24"/>
        </w:rPr>
      </w:pPr>
      <w:r w:rsidRPr="00D27BEC">
        <w:rPr>
          <w:sz w:val="24"/>
          <w:szCs w:val="24"/>
        </w:rPr>
        <w:t xml:space="preserve">The </w:t>
      </w:r>
      <w:r w:rsidR="003A7E9A" w:rsidRPr="00D27BEC">
        <w:rPr>
          <w:sz w:val="24"/>
          <w:szCs w:val="24"/>
        </w:rPr>
        <w:t xml:space="preserve">Policy has been developed to enable employees to take an </w:t>
      </w:r>
      <w:r w:rsidR="00CA3797">
        <w:rPr>
          <w:sz w:val="24"/>
          <w:szCs w:val="24"/>
        </w:rPr>
        <w:t>advance from</w:t>
      </w:r>
      <w:r w:rsidR="00D25CA4">
        <w:rPr>
          <w:sz w:val="24"/>
          <w:szCs w:val="24"/>
        </w:rPr>
        <w:t xml:space="preserve"> their salary</w:t>
      </w:r>
      <w:r w:rsidR="001275EF">
        <w:rPr>
          <w:sz w:val="24"/>
          <w:szCs w:val="24"/>
        </w:rPr>
        <w:t xml:space="preserve"> on</w:t>
      </w:r>
      <w:r w:rsidR="00B17A41">
        <w:rPr>
          <w:sz w:val="24"/>
          <w:szCs w:val="24"/>
        </w:rPr>
        <w:t xml:space="preserve"> below</w:t>
      </w:r>
      <w:r w:rsidR="003A7E9A" w:rsidRPr="00D27BEC">
        <w:rPr>
          <w:sz w:val="24"/>
          <w:szCs w:val="24"/>
        </w:rPr>
        <w:t xml:space="preserve"> mentioned areas. </w:t>
      </w:r>
    </w:p>
    <w:p w:rsidR="00DD1888" w:rsidRPr="00D27BEC" w:rsidRDefault="00DD1888" w:rsidP="00E906F0">
      <w:pPr>
        <w:spacing w:line="360" w:lineRule="auto"/>
        <w:jc w:val="both"/>
        <w:rPr>
          <w:sz w:val="24"/>
          <w:szCs w:val="24"/>
        </w:rPr>
      </w:pPr>
    </w:p>
    <w:p w:rsidR="005C1294" w:rsidRDefault="00BE5C14" w:rsidP="00E906F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Eligibility </w:t>
      </w:r>
      <w:r w:rsidR="00AF258D" w:rsidRPr="00B806BB">
        <w:rPr>
          <w:b/>
          <w:bCs/>
          <w:sz w:val="24"/>
          <w:szCs w:val="24"/>
        </w:rPr>
        <w:t xml:space="preserve">Criteria: </w:t>
      </w:r>
      <w:r w:rsidR="009E43FC">
        <w:rPr>
          <w:b/>
          <w:bCs/>
          <w:sz w:val="24"/>
          <w:szCs w:val="24"/>
        </w:rPr>
        <w:t xml:space="preserve"> </w:t>
      </w:r>
    </w:p>
    <w:p w:rsidR="00F4732C" w:rsidRPr="0041782C" w:rsidRDefault="00F4732C" w:rsidP="00E906F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D27BEC">
        <w:rPr>
          <w:sz w:val="24"/>
          <w:szCs w:val="24"/>
        </w:rPr>
        <w:t xml:space="preserve">The employees with greater than or equal to </w:t>
      </w:r>
      <w:r>
        <w:rPr>
          <w:sz w:val="24"/>
          <w:szCs w:val="24"/>
        </w:rPr>
        <w:t xml:space="preserve">6 </w:t>
      </w:r>
      <w:r w:rsidR="00A36DCD">
        <w:rPr>
          <w:sz w:val="24"/>
          <w:szCs w:val="24"/>
        </w:rPr>
        <w:t>months’</w:t>
      </w:r>
      <w:r>
        <w:rPr>
          <w:sz w:val="24"/>
          <w:szCs w:val="24"/>
        </w:rPr>
        <w:t xml:space="preserve"> period are eligible to avail the provision of this policy.  </w:t>
      </w:r>
    </w:p>
    <w:p w:rsidR="0041782C" w:rsidRPr="00F4732C" w:rsidRDefault="0041782C" w:rsidP="00E906F0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:rsidR="008377A2" w:rsidRDefault="008377A2" w:rsidP="00E906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C1294">
        <w:rPr>
          <w:sz w:val="24"/>
          <w:szCs w:val="24"/>
        </w:rPr>
        <w:t xml:space="preserve">The provision is applicable to take the advance of gross salary amount for the frequency of one time.  </w:t>
      </w:r>
    </w:p>
    <w:p w:rsidR="008377A2" w:rsidRPr="005C1294" w:rsidRDefault="008377A2" w:rsidP="00E906F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377A2" w:rsidRDefault="008377A2" w:rsidP="00E906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3226">
        <w:rPr>
          <w:sz w:val="24"/>
          <w:szCs w:val="24"/>
        </w:rPr>
        <w:t xml:space="preserve">The application should be submitted by filling Salary Advance Form with necessary documents for the stated reasons. </w:t>
      </w:r>
      <w:r w:rsidR="00FA3147">
        <w:rPr>
          <w:sz w:val="24"/>
          <w:szCs w:val="24"/>
        </w:rPr>
        <w:t xml:space="preserve"> Refer to the annexure for the form. </w:t>
      </w:r>
    </w:p>
    <w:p w:rsidR="00A557E8" w:rsidRPr="00A557E8" w:rsidRDefault="00A557E8" w:rsidP="00E906F0">
      <w:pPr>
        <w:pStyle w:val="ListParagraph"/>
        <w:spacing w:line="360" w:lineRule="auto"/>
        <w:rPr>
          <w:sz w:val="24"/>
          <w:szCs w:val="24"/>
        </w:rPr>
      </w:pPr>
    </w:p>
    <w:p w:rsidR="00A557E8" w:rsidRPr="00A557E8" w:rsidRDefault="00A557E8" w:rsidP="00E906F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8377A2" w:rsidRDefault="008377A2" w:rsidP="00E906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request must be made with all the relevant documents and at least one month prior to the intended start date of taking advance. </w:t>
      </w:r>
    </w:p>
    <w:p w:rsidR="00F4732C" w:rsidRPr="00F4732C" w:rsidRDefault="00F4732C" w:rsidP="00E906F0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:rsidR="00E13D40" w:rsidRPr="005C1294" w:rsidRDefault="00E13D40" w:rsidP="00E906F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C1294">
        <w:rPr>
          <w:sz w:val="24"/>
          <w:szCs w:val="24"/>
        </w:rPr>
        <w:t xml:space="preserve">The provision is applicable for the stated </w:t>
      </w:r>
      <w:r w:rsidR="004C707F">
        <w:rPr>
          <w:sz w:val="24"/>
          <w:szCs w:val="24"/>
        </w:rPr>
        <w:t>advance types</w:t>
      </w:r>
      <w:r w:rsidRPr="005C1294">
        <w:rPr>
          <w:sz w:val="24"/>
          <w:szCs w:val="24"/>
        </w:rPr>
        <w:t xml:space="preserve">: </w:t>
      </w:r>
    </w:p>
    <w:p w:rsidR="00BE3426" w:rsidRDefault="00AF258D" w:rsidP="00E906F0">
      <w:pPr>
        <w:spacing w:line="360" w:lineRule="auto"/>
        <w:ind w:left="720"/>
        <w:jc w:val="both"/>
        <w:rPr>
          <w:sz w:val="24"/>
          <w:szCs w:val="24"/>
        </w:rPr>
      </w:pPr>
      <w:r w:rsidRPr="00421782">
        <w:rPr>
          <w:b/>
          <w:bCs/>
          <w:sz w:val="24"/>
          <w:szCs w:val="24"/>
        </w:rPr>
        <w:t>Education</w:t>
      </w:r>
      <w:r w:rsidR="00BE3426">
        <w:rPr>
          <w:sz w:val="24"/>
          <w:szCs w:val="24"/>
        </w:rPr>
        <w:t>:</w:t>
      </w:r>
      <w:r w:rsidR="00BA54F1">
        <w:rPr>
          <w:sz w:val="24"/>
          <w:szCs w:val="24"/>
        </w:rPr>
        <w:t xml:space="preserve"> Salary a</w:t>
      </w:r>
      <w:r w:rsidR="00C15054">
        <w:rPr>
          <w:sz w:val="24"/>
          <w:szCs w:val="24"/>
        </w:rPr>
        <w:t>dvance will</w:t>
      </w:r>
      <w:r w:rsidR="005859C4">
        <w:rPr>
          <w:sz w:val="24"/>
          <w:szCs w:val="24"/>
        </w:rPr>
        <w:t xml:space="preserve"> be permitted to eligible employees if they want to pursue their education further. </w:t>
      </w:r>
      <w:r w:rsidR="007A2E69">
        <w:rPr>
          <w:sz w:val="24"/>
          <w:szCs w:val="24"/>
        </w:rPr>
        <w:t>The advance is to</w:t>
      </w:r>
      <w:r w:rsidR="00F7707C">
        <w:rPr>
          <w:sz w:val="24"/>
          <w:szCs w:val="24"/>
        </w:rPr>
        <w:t xml:space="preserve"> be permitted only for the Fee/</w:t>
      </w:r>
      <w:r w:rsidR="007A2E69">
        <w:rPr>
          <w:sz w:val="24"/>
          <w:szCs w:val="24"/>
        </w:rPr>
        <w:t xml:space="preserve">Admission Cost. </w:t>
      </w:r>
      <w:r w:rsidR="008C4248">
        <w:rPr>
          <w:sz w:val="24"/>
          <w:szCs w:val="24"/>
        </w:rPr>
        <w:t xml:space="preserve">However, the bills of such </w:t>
      </w:r>
      <w:r w:rsidR="00FC6190">
        <w:rPr>
          <w:sz w:val="24"/>
          <w:szCs w:val="24"/>
        </w:rPr>
        <w:t>education</w:t>
      </w:r>
      <w:r w:rsidR="008C4248">
        <w:rPr>
          <w:sz w:val="24"/>
          <w:szCs w:val="24"/>
        </w:rPr>
        <w:t xml:space="preserve"> expenses should be submitted to the department of accounts afterwards.</w:t>
      </w:r>
      <w:r w:rsidR="004254C8">
        <w:rPr>
          <w:sz w:val="24"/>
          <w:szCs w:val="24"/>
        </w:rPr>
        <w:t xml:space="preserve"> </w:t>
      </w:r>
    </w:p>
    <w:p w:rsidR="00AF258D" w:rsidRDefault="00AF258D" w:rsidP="00E906F0">
      <w:pPr>
        <w:spacing w:line="360" w:lineRule="auto"/>
        <w:ind w:left="720"/>
        <w:jc w:val="both"/>
        <w:rPr>
          <w:sz w:val="24"/>
          <w:szCs w:val="24"/>
        </w:rPr>
      </w:pPr>
      <w:r w:rsidRPr="00421782">
        <w:rPr>
          <w:b/>
          <w:bCs/>
          <w:sz w:val="24"/>
          <w:szCs w:val="24"/>
        </w:rPr>
        <w:t>Medical</w:t>
      </w:r>
      <w:r w:rsidR="00CD5D6A" w:rsidRPr="00421782">
        <w:rPr>
          <w:b/>
          <w:bCs/>
          <w:sz w:val="24"/>
          <w:szCs w:val="24"/>
        </w:rPr>
        <w:t>:</w:t>
      </w:r>
      <w:r w:rsidR="00CD5D6A">
        <w:rPr>
          <w:sz w:val="24"/>
          <w:szCs w:val="24"/>
        </w:rPr>
        <w:t xml:space="preserve"> </w:t>
      </w:r>
      <w:r w:rsidR="00BA54F1">
        <w:rPr>
          <w:sz w:val="24"/>
          <w:szCs w:val="24"/>
        </w:rPr>
        <w:t>Salary a</w:t>
      </w:r>
      <w:r w:rsidR="00C15054">
        <w:rPr>
          <w:sz w:val="24"/>
          <w:szCs w:val="24"/>
        </w:rPr>
        <w:t xml:space="preserve">dvance will </w:t>
      </w:r>
      <w:r w:rsidR="00FF5EE2">
        <w:rPr>
          <w:sz w:val="24"/>
          <w:szCs w:val="24"/>
        </w:rPr>
        <w:t xml:space="preserve">be permitted to eligible employees if </w:t>
      </w:r>
      <w:r w:rsidR="00A06BCC">
        <w:rPr>
          <w:sz w:val="24"/>
          <w:szCs w:val="24"/>
        </w:rPr>
        <w:t xml:space="preserve">they are facing medical issues within them or their family members.  </w:t>
      </w:r>
      <w:r w:rsidR="00A32F1D">
        <w:rPr>
          <w:sz w:val="24"/>
          <w:szCs w:val="24"/>
        </w:rPr>
        <w:t xml:space="preserve">However, </w:t>
      </w:r>
      <w:r w:rsidR="009F64E8">
        <w:rPr>
          <w:sz w:val="24"/>
          <w:szCs w:val="24"/>
        </w:rPr>
        <w:t xml:space="preserve">the bills of such medical expenses should be submitted to the department of accounts </w:t>
      </w:r>
      <w:r w:rsidR="004A48AD">
        <w:rPr>
          <w:sz w:val="24"/>
          <w:szCs w:val="24"/>
        </w:rPr>
        <w:t>afterwards.</w:t>
      </w:r>
    </w:p>
    <w:p w:rsidR="00A873F4" w:rsidRDefault="00192EE2" w:rsidP="00E906F0">
      <w:pPr>
        <w:spacing w:line="360" w:lineRule="auto"/>
        <w:ind w:left="720"/>
        <w:jc w:val="both"/>
        <w:rPr>
          <w:sz w:val="24"/>
          <w:szCs w:val="24"/>
        </w:rPr>
      </w:pPr>
      <w:r w:rsidRPr="00421782">
        <w:rPr>
          <w:b/>
          <w:bCs/>
          <w:sz w:val="24"/>
          <w:szCs w:val="24"/>
        </w:rPr>
        <w:t>Vehicle</w:t>
      </w:r>
      <w:r w:rsidR="00A873F4" w:rsidRPr="00421782">
        <w:rPr>
          <w:b/>
          <w:bCs/>
          <w:sz w:val="24"/>
          <w:szCs w:val="24"/>
        </w:rPr>
        <w:t>:</w:t>
      </w:r>
      <w:r w:rsidR="00A873F4">
        <w:rPr>
          <w:sz w:val="24"/>
          <w:szCs w:val="24"/>
        </w:rPr>
        <w:t xml:space="preserve"> </w:t>
      </w:r>
      <w:r w:rsidR="00BA54F1">
        <w:rPr>
          <w:sz w:val="24"/>
          <w:szCs w:val="24"/>
        </w:rPr>
        <w:t>Salary a</w:t>
      </w:r>
      <w:r w:rsidR="00C15054">
        <w:rPr>
          <w:sz w:val="24"/>
          <w:szCs w:val="24"/>
        </w:rPr>
        <w:t>dvance will</w:t>
      </w:r>
      <w:r w:rsidR="00A873F4">
        <w:rPr>
          <w:sz w:val="24"/>
          <w:szCs w:val="24"/>
        </w:rPr>
        <w:t xml:space="preserve"> be permitted to eligible employees if they ar</w:t>
      </w:r>
      <w:r w:rsidR="00361E71">
        <w:rPr>
          <w:sz w:val="24"/>
          <w:szCs w:val="24"/>
        </w:rPr>
        <w:t>e from Sales department and need</w:t>
      </w:r>
      <w:r w:rsidR="00A873F4">
        <w:rPr>
          <w:sz w:val="24"/>
          <w:szCs w:val="24"/>
        </w:rPr>
        <w:t xml:space="preserve"> two-wheeler vehicle</w:t>
      </w:r>
      <w:r w:rsidR="00BD528C">
        <w:rPr>
          <w:sz w:val="24"/>
          <w:szCs w:val="24"/>
        </w:rPr>
        <w:t xml:space="preserve"> for the business </w:t>
      </w:r>
      <w:r w:rsidR="00BD528C" w:rsidRPr="00BD528C">
        <w:rPr>
          <w:sz w:val="24"/>
          <w:szCs w:val="24"/>
        </w:rPr>
        <w:t>exigencie</w:t>
      </w:r>
      <w:r w:rsidR="00BD528C">
        <w:rPr>
          <w:sz w:val="24"/>
          <w:szCs w:val="24"/>
        </w:rPr>
        <w:t>s</w:t>
      </w:r>
      <w:r w:rsidR="00A873F4">
        <w:rPr>
          <w:sz w:val="24"/>
          <w:szCs w:val="24"/>
        </w:rPr>
        <w:t xml:space="preserve">. They are </w:t>
      </w:r>
      <w:r w:rsidR="00A873F4">
        <w:rPr>
          <w:sz w:val="24"/>
          <w:szCs w:val="24"/>
        </w:rPr>
        <w:lastRenderedPageBreak/>
        <w:t xml:space="preserve">eligible to take </w:t>
      </w:r>
      <w:r w:rsidR="00E35CB9">
        <w:rPr>
          <w:sz w:val="24"/>
          <w:szCs w:val="24"/>
        </w:rPr>
        <w:t>u</w:t>
      </w:r>
      <w:r w:rsidR="00A873F4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A873F4">
        <w:rPr>
          <w:sz w:val="24"/>
          <w:szCs w:val="24"/>
        </w:rPr>
        <w:t>to 1 Lakh in advance.</w:t>
      </w:r>
      <w:r w:rsidR="00063EAC">
        <w:rPr>
          <w:sz w:val="24"/>
          <w:szCs w:val="24"/>
        </w:rPr>
        <w:t xml:space="preserve"> </w:t>
      </w:r>
      <w:r w:rsidR="00BD528C">
        <w:rPr>
          <w:sz w:val="24"/>
          <w:szCs w:val="24"/>
        </w:rPr>
        <w:t xml:space="preserve"> </w:t>
      </w:r>
      <w:r w:rsidR="00EA576D">
        <w:rPr>
          <w:sz w:val="24"/>
          <w:szCs w:val="24"/>
        </w:rPr>
        <w:t xml:space="preserve">However, </w:t>
      </w:r>
      <w:r w:rsidR="00BC49E7">
        <w:rPr>
          <w:sz w:val="24"/>
          <w:szCs w:val="24"/>
        </w:rPr>
        <w:t xml:space="preserve">the bills of such vehicle </w:t>
      </w:r>
      <w:r w:rsidR="00EA576D">
        <w:rPr>
          <w:sz w:val="24"/>
          <w:szCs w:val="24"/>
        </w:rPr>
        <w:t>expenses should be submitted to the department of accounts afterwards.</w:t>
      </w:r>
    </w:p>
    <w:p w:rsidR="00A873F4" w:rsidRDefault="00A873F4" w:rsidP="00E906F0">
      <w:pPr>
        <w:spacing w:line="360" w:lineRule="auto"/>
        <w:ind w:left="720"/>
        <w:jc w:val="both"/>
        <w:rPr>
          <w:sz w:val="24"/>
          <w:szCs w:val="24"/>
        </w:rPr>
      </w:pPr>
      <w:r w:rsidRPr="00421782">
        <w:rPr>
          <w:b/>
          <w:bCs/>
          <w:sz w:val="24"/>
          <w:szCs w:val="24"/>
        </w:rPr>
        <w:t>Laptop:</w:t>
      </w:r>
      <w:r>
        <w:rPr>
          <w:sz w:val="24"/>
          <w:szCs w:val="24"/>
        </w:rPr>
        <w:t xml:space="preserve"> </w:t>
      </w:r>
      <w:r w:rsidR="00BA54F1">
        <w:rPr>
          <w:sz w:val="24"/>
          <w:szCs w:val="24"/>
        </w:rPr>
        <w:t>Salary a</w:t>
      </w:r>
      <w:r w:rsidR="002E36FB">
        <w:rPr>
          <w:sz w:val="24"/>
          <w:szCs w:val="24"/>
        </w:rPr>
        <w:t>dvance will</w:t>
      </w:r>
      <w:r w:rsidR="008317FF">
        <w:rPr>
          <w:sz w:val="24"/>
          <w:szCs w:val="24"/>
        </w:rPr>
        <w:t xml:space="preserve"> be permitted to eligible employees </w:t>
      </w:r>
      <w:r w:rsidR="00A466CB">
        <w:rPr>
          <w:sz w:val="24"/>
          <w:szCs w:val="24"/>
        </w:rPr>
        <w:t xml:space="preserve">if they need laptop for the official purpose. </w:t>
      </w:r>
      <w:r w:rsidR="00E46929">
        <w:rPr>
          <w:sz w:val="24"/>
          <w:szCs w:val="24"/>
        </w:rPr>
        <w:t xml:space="preserve"> </w:t>
      </w:r>
    </w:p>
    <w:p w:rsidR="0083783F" w:rsidRDefault="004060A7" w:rsidP="00E906F0">
      <w:pPr>
        <w:spacing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Work Advance:</w:t>
      </w:r>
      <w:r>
        <w:rPr>
          <w:sz w:val="24"/>
          <w:szCs w:val="24"/>
        </w:rPr>
        <w:t xml:space="preserve"> </w:t>
      </w:r>
      <w:r w:rsidR="00624F78">
        <w:rPr>
          <w:sz w:val="24"/>
          <w:szCs w:val="24"/>
        </w:rPr>
        <w:t>Salary advance will be permitted to eligible em</w:t>
      </w:r>
      <w:r w:rsidR="00662026">
        <w:rPr>
          <w:sz w:val="24"/>
          <w:szCs w:val="24"/>
        </w:rPr>
        <w:t xml:space="preserve">ployees if they need to travel or </w:t>
      </w:r>
      <w:r w:rsidR="00C368F1">
        <w:rPr>
          <w:sz w:val="24"/>
          <w:szCs w:val="24"/>
        </w:rPr>
        <w:t xml:space="preserve">conduct activities for the work purposes. </w:t>
      </w:r>
    </w:p>
    <w:p w:rsidR="004060A7" w:rsidRPr="00D27BEC" w:rsidRDefault="00C368F1" w:rsidP="00F177BA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maximum amount to be released</w:t>
      </w:r>
      <w:r w:rsidR="008A08DE">
        <w:rPr>
          <w:sz w:val="24"/>
          <w:szCs w:val="24"/>
        </w:rPr>
        <w:t xml:space="preserve"> for such purpose is about Rs. 5</w:t>
      </w:r>
      <w:r w:rsidR="00F177BA">
        <w:rPr>
          <w:sz w:val="24"/>
          <w:szCs w:val="24"/>
        </w:rPr>
        <w:t xml:space="preserve">0,000. </w:t>
      </w:r>
      <w:r w:rsidR="00F177BA">
        <w:rPr>
          <w:sz w:val="24"/>
          <w:szCs w:val="24"/>
        </w:rPr>
        <w:t xml:space="preserve">However, </w:t>
      </w:r>
      <w:r w:rsidR="00A233EF">
        <w:rPr>
          <w:sz w:val="24"/>
          <w:szCs w:val="24"/>
        </w:rPr>
        <w:t>the bills of such</w:t>
      </w:r>
      <w:r w:rsidR="00F177BA">
        <w:rPr>
          <w:sz w:val="24"/>
          <w:szCs w:val="24"/>
        </w:rPr>
        <w:t xml:space="preserve"> expenses should be submitted to the department of accounts afterwards.</w:t>
      </w:r>
    </w:p>
    <w:p w:rsidR="00312AF2" w:rsidRDefault="00312AF2" w:rsidP="00E906F0">
      <w:pPr>
        <w:spacing w:line="360" w:lineRule="auto"/>
        <w:rPr>
          <w:b/>
          <w:bCs/>
          <w:sz w:val="24"/>
          <w:szCs w:val="24"/>
        </w:rPr>
      </w:pPr>
    </w:p>
    <w:p w:rsidR="000452E0" w:rsidRPr="005477E2" w:rsidRDefault="00F8504B" w:rsidP="00E906F0">
      <w:pPr>
        <w:spacing w:line="360" w:lineRule="auto"/>
        <w:rPr>
          <w:b/>
          <w:bCs/>
          <w:sz w:val="24"/>
          <w:szCs w:val="24"/>
        </w:rPr>
      </w:pPr>
      <w:r w:rsidRPr="005477E2">
        <w:rPr>
          <w:b/>
          <w:bCs/>
          <w:sz w:val="24"/>
          <w:szCs w:val="24"/>
        </w:rPr>
        <w:t>Approval Process</w:t>
      </w:r>
    </w:p>
    <w:p w:rsidR="00F8504B" w:rsidRPr="00F8504B" w:rsidRDefault="00F8504B" w:rsidP="00F27A4C">
      <w:pPr>
        <w:spacing w:line="360" w:lineRule="auto"/>
        <w:jc w:val="both"/>
        <w:rPr>
          <w:sz w:val="24"/>
          <w:szCs w:val="24"/>
        </w:rPr>
      </w:pPr>
      <w:r w:rsidRPr="00F8504B">
        <w:rPr>
          <w:sz w:val="24"/>
          <w:szCs w:val="24"/>
        </w:rPr>
        <w:t>The employee</w:t>
      </w:r>
      <w:r w:rsidR="00F4402A">
        <w:rPr>
          <w:sz w:val="24"/>
          <w:szCs w:val="24"/>
        </w:rPr>
        <w:t xml:space="preserve"> must discuss his/her</w:t>
      </w:r>
      <w:r w:rsidRPr="00F8504B">
        <w:rPr>
          <w:sz w:val="24"/>
          <w:szCs w:val="24"/>
        </w:rPr>
        <w:t xml:space="preserve"> application with their Head of Department. The HOD will </w:t>
      </w:r>
      <w:r w:rsidR="00C245F4">
        <w:rPr>
          <w:sz w:val="24"/>
          <w:szCs w:val="24"/>
        </w:rPr>
        <w:t>approve</w:t>
      </w:r>
      <w:r w:rsidRPr="00F8504B">
        <w:rPr>
          <w:sz w:val="24"/>
          <w:szCs w:val="24"/>
        </w:rPr>
        <w:t xml:space="preserve"> the application of the empl</w:t>
      </w:r>
      <w:r w:rsidR="00C245F4">
        <w:rPr>
          <w:sz w:val="24"/>
          <w:szCs w:val="24"/>
        </w:rPr>
        <w:t>oyee which then will be verified</w:t>
      </w:r>
      <w:r w:rsidRPr="00F8504B">
        <w:rPr>
          <w:sz w:val="24"/>
          <w:szCs w:val="24"/>
        </w:rPr>
        <w:t xml:space="preserve"> by Head of Human Resource. </w:t>
      </w:r>
    </w:p>
    <w:p w:rsidR="00295C21" w:rsidRDefault="00295C21" w:rsidP="00E906F0">
      <w:pPr>
        <w:spacing w:line="360" w:lineRule="auto"/>
        <w:jc w:val="both"/>
        <w:rPr>
          <w:sz w:val="24"/>
          <w:szCs w:val="24"/>
        </w:rPr>
      </w:pPr>
    </w:p>
    <w:p w:rsidR="000452E0" w:rsidRDefault="00695C8D" w:rsidP="00E906F0">
      <w:pPr>
        <w:spacing w:line="360" w:lineRule="auto"/>
        <w:jc w:val="both"/>
        <w:rPr>
          <w:b/>
          <w:bCs/>
          <w:sz w:val="24"/>
          <w:szCs w:val="24"/>
        </w:rPr>
      </w:pPr>
      <w:r w:rsidRPr="00AC26CF">
        <w:rPr>
          <w:b/>
          <w:bCs/>
          <w:sz w:val="24"/>
          <w:szCs w:val="24"/>
        </w:rPr>
        <w:t xml:space="preserve">Advance </w:t>
      </w:r>
      <w:r w:rsidR="00A33C83">
        <w:rPr>
          <w:b/>
          <w:bCs/>
          <w:sz w:val="24"/>
          <w:szCs w:val="24"/>
        </w:rPr>
        <w:t xml:space="preserve">Limit and </w:t>
      </w:r>
      <w:r w:rsidRPr="00AC26CF">
        <w:rPr>
          <w:b/>
          <w:bCs/>
          <w:sz w:val="24"/>
          <w:szCs w:val="24"/>
        </w:rPr>
        <w:t>Adjustment</w:t>
      </w:r>
    </w:p>
    <w:p w:rsidR="00312AF2" w:rsidRPr="00CF07CD" w:rsidRDefault="00C867E5" w:rsidP="00E906F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advance limit is</w:t>
      </w:r>
      <w:r w:rsidR="003D7156">
        <w:rPr>
          <w:sz w:val="24"/>
          <w:szCs w:val="24"/>
        </w:rPr>
        <w:t xml:space="preserve"> of Rs. 1,00,000.</w:t>
      </w:r>
      <w:r w:rsidR="00E72E5B">
        <w:rPr>
          <w:sz w:val="24"/>
          <w:szCs w:val="24"/>
        </w:rPr>
        <w:t xml:space="preserve"> </w:t>
      </w:r>
      <w:r w:rsidR="0088166A">
        <w:rPr>
          <w:sz w:val="24"/>
          <w:szCs w:val="24"/>
        </w:rPr>
        <w:t>The advance</w:t>
      </w:r>
      <w:r w:rsidR="005B113D" w:rsidRPr="00CF07CD">
        <w:rPr>
          <w:sz w:val="24"/>
          <w:szCs w:val="24"/>
        </w:rPr>
        <w:t xml:space="preserve"> is </w:t>
      </w:r>
      <w:r w:rsidR="0083783F">
        <w:rPr>
          <w:sz w:val="24"/>
          <w:szCs w:val="24"/>
        </w:rPr>
        <w:t xml:space="preserve">to be </w:t>
      </w:r>
      <w:r w:rsidR="005B113D" w:rsidRPr="00CF07CD">
        <w:rPr>
          <w:sz w:val="24"/>
          <w:szCs w:val="24"/>
        </w:rPr>
        <w:t xml:space="preserve">adjusted </w:t>
      </w:r>
      <w:r w:rsidR="00AD7B3C">
        <w:rPr>
          <w:sz w:val="24"/>
          <w:szCs w:val="24"/>
        </w:rPr>
        <w:t>within 6 months of</w:t>
      </w:r>
      <w:r w:rsidR="000663EA">
        <w:rPr>
          <w:sz w:val="24"/>
          <w:szCs w:val="24"/>
        </w:rPr>
        <w:t xml:space="preserve"> the approval of this</w:t>
      </w:r>
      <w:r w:rsidR="0088166A">
        <w:rPr>
          <w:sz w:val="24"/>
          <w:szCs w:val="24"/>
        </w:rPr>
        <w:t xml:space="preserve"> provision through </w:t>
      </w:r>
      <w:r w:rsidR="007C2173">
        <w:rPr>
          <w:sz w:val="24"/>
          <w:szCs w:val="24"/>
        </w:rPr>
        <w:t>salary of the benefitted</w:t>
      </w:r>
      <w:r w:rsidR="0088166A">
        <w:rPr>
          <w:sz w:val="24"/>
          <w:szCs w:val="24"/>
        </w:rPr>
        <w:t xml:space="preserve"> employees. </w:t>
      </w:r>
      <w:r w:rsidR="00225744">
        <w:rPr>
          <w:sz w:val="24"/>
          <w:szCs w:val="24"/>
        </w:rPr>
        <w:t xml:space="preserve"> </w:t>
      </w:r>
    </w:p>
    <w:p w:rsidR="00695C8D" w:rsidRDefault="00695C8D" w:rsidP="00E906F0">
      <w:pPr>
        <w:spacing w:line="360" w:lineRule="auto"/>
        <w:jc w:val="both"/>
        <w:rPr>
          <w:sz w:val="24"/>
          <w:szCs w:val="24"/>
        </w:rPr>
      </w:pPr>
    </w:p>
    <w:p w:rsidR="001F7563" w:rsidRDefault="001F7563" w:rsidP="00E906F0">
      <w:pPr>
        <w:spacing w:line="360" w:lineRule="auto"/>
        <w:jc w:val="both"/>
        <w:rPr>
          <w:b/>
          <w:bCs/>
          <w:sz w:val="24"/>
          <w:szCs w:val="24"/>
        </w:rPr>
      </w:pPr>
    </w:p>
    <w:p w:rsidR="001F7563" w:rsidRDefault="001F7563" w:rsidP="00E906F0">
      <w:pPr>
        <w:spacing w:line="360" w:lineRule="auto"/>
        <w:jc w:val="both"/>
        <w:rPr>
          <w:b/>
          <w:bCs/>
          <w:sz w:val="24"/>
          <w:szCs w:val="24"/>
        </w:rPr>
      </w:pPr>
    </w:p>
    <w:p w:rsidR="001F7563" w:rsidRDefault="001F7563" w:rsidP="00E906F0">
      <w:pPr>
        <w:spacing w:line="360" w:lineRule="auto"/>
        <w:jc w:val="both"/>
        <w:rPr>
          <w:b/>
          <w:bCs/>
          <w:sz w:val="24"/>
          <w:szCs w:val="24"/>
        </w:rPr>
      </w:pPr>
    </w:p>
    <w:p w:rsidR="001F7563" w:rsidRDefault="001F7563" w:rsidP="00E906F0">
      <w:pPr>
        <w:spacing w:line="360" w:lineRule="auto"/>
        <w:jc w:val="both"/>
        <w:rPr>
          <w:b/>
          <w:bCs/>
          <w:sz w:val="24"/>
          <w:szCs w:val="24"/>
        </w:rPr>
      </w:pPr>
    </w:p>
    <w:p w:rsidR="00644539" w:rsidRDefault="00644539" w:rsidP="00E906F0">
      <w:pPr>
        <w:spacing w:line="360" w:lineRule="auto"/>
        <w:jc w:val="both"/>
        <w:rPr>
          <w:b/>
          <w:bCs/>
          <w:sz w:val="24"/>
          <w:szCs w:val="24"/>
        </w:rPr>
      </w:pPr>
    </w:p>
    <w:p w:rsidR="00644539" w:rsidRDefault="00644539" w:rsidP="00E906F0">
      <w:pPr>
        <w:spacing w:line="360" w:lineRule="auto"/>
        <w:jc w:val="both"/>
        <w:rPr>
          <w:b/>
          <w:bCs/>
          <w:sz w:val="24"/>
          <w:szCs w:val="24"/>
        </w:rPr>
      </w:pPr>
    </w:p>
    <w:p w:rsidR="000452E0" w:rsidRPr="00931F7F" w:rsidRDefault="000452E0" w:rsidP="00E906F0">
      <w:pPr>
        <w:spacing w:line="360" w:lineRule="auto"/>
        <w:jc w:val="both"/>
        <w:rPr>
          <w:b/>
          <w:bCs/>
          <w:sz w:val="24"/>
          <w:szCs w:val="24"/>
        </w:rPr>
      </w:pPr>
      <w:r w:rsidRPr="00931F7F">
        <w:rPr>
          <w:b/>
          <w:bCs/>
          <w:sz w:val="24"/>
          <w:szCs w:val="24"/>
        </w:rPr>
        <w:lastRenderedPageBreak/>
        <w:t xml:space="preserve">Annex: </w:t>
      </w:r>
    </w:p>
    <w:p w:rsidR="00AC4D60" w:rsidRDefault="00AC4D60" w:rsidP="00AC4D60">
      <w:pPr>
        <w:jc w:val="center"/>
      </w:pPr>
      <w:r>
        <w:t>Upaya City Cargo Pvt.Ltd.</w:t>
      </w:r>
    </w:p>
    <w:p w:rsidR="00AC4D60" w:rsidRDefault="00AC4D60" w:rsidP="00AC4D60">
      <w:pPr>
        <w:jc w:val="center"/>
      </w:pPr>
      <w:r>
        <w:t>Babarmahal, Kathmandu</w:t>
      </w:r>
    </w:p>
    <w:p w:rsidR="00AC4D60" w:rsidRDefault="00AC4D60" w:rsidP="00AC4D60">
      <w:pPr>
        <w:jc w:val="center"/>
      </w:pPr>
      <w:r>
        <w:t>Salary Advance Request Form</w:t>
      </w:r>
    </w:p>
    <w:p w:rsidR="00AC4D60" w:rsidRDefault="00AC4D60" w:rsidP="00AC4D60">
      <w:pPr>
        <w:jc w:val="center"/>
      </w:pPr>
    </w:p>
    <w:p w:rsidR="00AC4D60" w:rsidRDefault="00AC4D60" w:rsidP="00AC4D60">
      <w:r>
        <w:t xml:space="preserve">Name:- </w:t>
      </w:r>
    </w:p>
    <w:p w:rsidR="00AC4D60" w:rsidRDefault="00AC4D60" w:rsidP="00AC4D60">
      <w:r>
        <w:t xml:space="preserve">Position:- </w:t>
      </w:r>
    </w:p>
    <w:p w:rsidR="00AC4D60" w:rsidRDefault="00AC4D60" w:rsidP="00AC4D60"/>
    <w:p w:rsidR="00AC4D60" w:rsidRDefault="00AC4D60" w:rsidP="00AC4D60">
      <w:r>
        <w:t xml:space="preserve">Period: -                                               To </w:t>
      </w:r>
    </w:p>
    <w:p w:rsidR="00AC4D60" w:rsidRDefault="00AC4D60" w:rsidP="00AC4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04"/>
        <w:gridCol w:w="3003"/>
      </w:tblGrid>
      <w:tr w:rsidR="00AC4D60" w:rsidTr="009D4117">
        <w:tc>
          <w:tcPr>
            <w:tcW w:w="3116" w:type="dxa"/>
          </w:tcPr>
          <w:p w:rsidR="00AC4D60" w:rsidRDefault="00AC4D60" w:rsidP="009D4117">
            <w:r>
              <w:t>Particular</w:t>
            </w:r>
          </w:p>
        </w:tc>
        <w:tc>
          <w:tcPr>
            <w:tcW w:w="3117" w:type="dxa"/>
          </w:tcPr>
          <w:p w:rsidR="00AC4D60" w:rsidRDefault="00AC4D60" w:rsidP="009D4117">
            <w:r>
              <w:t>Purpose</w:t>
            </w:r>
          </w:p>
        </w:tc>
        <w:tc>
          <w:tcPr>
            <w:tcW w:w="3117" w:type="dxa"/>
          </w:tcPr>
          <w:p w:rsidR="00AC4D60" w:rsidRDefault="00AC4D60" w:rsidP="009D4117">
            <w:r>
              <w:t>Amount</w:t>
            </w:r>
          </w:p>
        </w:tc>
      </w:tr>
      <w:tr w:rsidR="00AC4D60" w:rsidTr="009D4117">
        <w:trPr>
          <w:trHeight w:val="1650"/>
        </w:trPr>
        <w:tc>
          <w:tcPr>
            <w:tcW w:w="3116" w:type="dxa"/>
            <w:vMerge w:val="restart"/>
          </w:tcPr>
          <w:p w:rsidR="00AC4D60" w:rsidRDefault="00AC4D60" w:rsidP="009D4117"/>
        </w:tc>
        <w:tc>
          <w:tcPr>
            <w:tcW w:w="3117" w:type="dxa"/>
          </w:tcPr>
          <w:p w:rsidR="00AC4D60" w:rsidRDefault="00AC4D60" w:rsidP="009D4117"/>
        </w:tc>
        <w:tc>
          <w:tcPr>
            <w:tcW w:w="3117" w:type="dxa"/>
          </w:tcPr>
          <w:p w:rsidR="00AC4D60" w:rsidRDefault="00AC4D60" w:rsidP="009D4117"/>
        </w:tc>
      </w:tr>
      <w:tr w:rsidR="00AC4D60" w:rsidTr="009D4117">
        <w:trPr>
          <w:trHeight w:val="557"/>
        </w:trPr>
        <w:tc>
          <w:tcPr>
            <w:tcW w:w="3116" w:type="dxa"/>
            <w:vMerge/>
          </w:tcPr>
          <w:p w:rsidR="00AC4D60" w:rsidRDefault="00AC4D60" w:rsidP="009D4117"/>
        </w:tc>
        <w:tc>
          <w:tcPr>
            <w:tcW w:w="3117" w:type="dxa"/>
          </w:tcPr>
          <w:p w:rsidR="00AC4D60" w:rsidRDefault="00AC4D60" w:rsidP="009D4117">
            <w:r>
              <w:t>Grand Total Amount (NPR)</w:t>
            </w:r>
          </w:p>
        </w:tc>
        <w:tc>
          <w:tcPr>
            <w:tcW w:w="3117" w:type="dxa"/>
          </w:tcPr>
          <w:p w:rsidR="00AC4D60" w:rsidRDefault="00AC4D60" w:rsidP="009D4117"/>
        </w:tc>
      </w:tr>
    </w:tbl>
    <w:p w:rsidR="00AC4D60" w:rsidRDefault="00AC4D60" w:rsidP="00AC4D60"/>
    <w:p w:rsidR="00AC4D60" w:rsidRDefault="00AC4D60" w:rsidP="00AC4D60">
      <w:r>
        <w:t>In Words Rupees:   ……………………………………………………………………………………………………………………………………</w:t>
      </w:r>
    </w:p>
    <w:p w:rsidR="00AC4D60" w:rsidRDefault="00AC4D60" w:rsidP="00AC4D60">
      <w:r>
        <w:t>…………………………………………………………………………………….</w:t>
      </w:r>
    </w:p>
    <w:p w:rsidR="00AC4D60" w:rsidRDefault="00AC4D60" w:rsidP="00AC4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D60" w:rsidTr="009D4117">
        <w:tc>
          <w:tcPr>
            <w:tcW w:w="9350" w:type="dxa"/>
          </w:tcPr>
          <w:p w:rsidR="00AC4D60" w:rsidRDefault="00AC4D60" w:rsidP="009D4117">
            <w:r>
              <w:t>Note:-</w:t>
            </w:r>
          </w:p>
          <w:p w:rsidR="00AC4D60" w:rsidRDefault="00AC4D60" w:rsidP="009D4117"/>
        </w:tc>
      </w:tr>
    </w:tbl>
    <w:p w:rsidR="00AC4D60" w:rsidRDefault="00AC4D60" w:rsidP="00AC4D60"/>
    <w:p w:rsidR="00AC4D60" w:rsidRDefault="00AC4D60" w:rsidP="00AC4D60"/>
    <w:p w:rsidR="00AC4D60" w:rsidRDefault="00AC4D60" w:rsidP="00AC4D60"/>
    <w:p w:rsidR="00AC4D60" w:rsidRDefault="00AC4D60" w:rsidP="00AC4D60"/>
    <w:p w:rsidR="00AC4D60" w:rsidRDefault="00AC4D60" w:rsidP="00AC4D60">
      <w:r>
        <w:t>Approved By :                                                                                                                                ……………………….</w:t>
      </w:r>
    </w:p>
    <w:p w:rsidR="00AC4D60" w:rsidRDefault="00AC4D60" w:rsidP="00AC4D60">
      <w:r>
        <w:t xml:space="preserve">Approved Amount:                                                                                                     </w:t>
      </w:r>
      <w:r w:rsidR="00EA4397">
        <w:t xml:space="preserve">     </w:t>
      </w:r>
      <w:bookmarkStart w:id="0" w:name="_GoBack"/>
      <w:bookmarkEnd w:id="0"/>
      <w:r>
        <w:t>Applicant’s Signature</w:t>
      </w:r>
    </w:p>
    <w:p w:rsidR="00AC4D60" w:rsidRDefault="00AC4D60" w:rsidP="00AC4D60">
      <w:r>
        <w:t xml:space="preserve">Approved Date: </w:t>
      </w:r>
    </w:p>
    <w:p w:rsidR="00AC4D60" w:rsidRPr="00931F7F" w:rsidRDefault="00AC4D60" w:rsidP="00E906F0">
      <w:pPr>
        <w:spacing w:line="360" w:lineRule="auto"/>
        <w:jc w:val="center"/>
        <w:rPr>
          <w:b/>
          <w:bCs/>
          <w:sz w:val="24"/>
          <w:szCs w:val="24"/>
        </w:rPr>
      </w:pPr>
    </w:p>
    <w:sectPr w:rsidR="00AC4D60" w:rsidRPr="00931F7F" w:rsidSect="00E72E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1155"/>
    <w:multiLevelType w:val="hybridMultilevel"/>
    <w:tmpl w:val="FEAC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B19EF"/>
    <w:multiLevelType w:val="hybridMultilevel"/>
    <w:tmpl w:val="FEAC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C9"/>
    <w:rsid w:val="000247E2"/>
    <w:rsid w:val="000452E0"/>
    <w:rsid w:val="00063EAC"/>
    <w:rsid w:val="000663EA"/>
    <w:rsid w:val="000F3C48"/>
    <w:rsid w:val="00123226"/>
    <w:rsid w:val="001253B3"/>
    <w:rsid w:val="001275EF"/>
    <w:rsid w:val="00192EE2"/>
    <w:rsid w:val="001D087B"/>
    <w:rsid w:val="001D5AF1"/>
    <w:rsid w:val="001F51DD"/>
    <w:rsid w:val="001F7563"/>
    <w:rsid w:val="00207A36"/>
    <w:rsid w:val="00225744"/>
    <w:rsid w:val="002458A7"/>
    <w:rsid w:val="00295C21"/>
    <w:rsid w:val="002D004B"/>
    <w:rsid w:val="002E36FB"/>
    <w:rsid w:val="00303D32"/>
    <w:rsid w:val="00312AF2"/>
    <w:rsid w:val="00324652"/>
    <w:rsid w:val="003311B9"/>
    <w:rsid w:val="00361E71"/>
    <w:rsid w:val="003A0871"/>
    <w:rsid w:val="003A7E9A"/>
    <w:rsid w:val="003D7156"/>
    <w:rsid w:val="0040033A"/>
    <w:rsid w:val="004060A7"/>
    <w:rsid w:val="0041216E"/>
    <w:rsid w:val="00412775"/>
    <w:rsid w:val="0041782C"/>
    <w:rsid w:val="00421782"/>
    <w:rsid w:val="004254C8"/>
    <w:rsid w:val="004364E2"/>
    <w:rsid w:val="0043742D"/>
    <w:rsid w:val="00477E54"/>
    <w:rsid w:val="004A1377"/>
    <w:rsid w:val="004A48AD"/>
    <w:rsid w:val="004C707F"/>
    <w:rsid w:val="004F6C54"/>
    <w:rsid w:val="0052672B"/>
    <w:rsid w:val="005477E2"/>
    <w:rsid w:val="005859C4"/>
    <w:rsid w:val="005B113D"/>
    <w:rsid w:val="005C1294"/>
    <w:rsid w:val="0060712B"/>
    <w:rsid w:val="00624F78"/>
    <w:rsid w:val="00644539"/>
    <w:rsid w:val="00662026"/>
    <w:rsid w:val="00664F87"/>
    <w:rsid w:val="00667963"/>
    <w:rsid w:val="0069336D"/>
    <w:rsid w:val="00695C8D"/>
    <w:rsid w:val="006C388C"/>
    <w:rsid w:val="00700452"/>
    <w:rsid w:val="0071282A"/>
    <w:rsid w:val="007159DA"/>
    <w:rsid w:val="00745FB0"/>
    <w:rsid w:val="00763F55"/>
    <w:rsid w:val="00794836"/>
    <w:rsid w:val="00797CF1"/>
    <w:rsid w:val="007A2E69"/>
    <w:rsid w:val="007A5483"/>
    <w:rsid w:val="007C2173"/>
    <w:rsid w:val="00805C99"/>
    <w:rsid w:val="008265CA"/>
    <w:rsid w:val="008317FF"/>
    <w:rsid w:val="008377A2"/>
    <w:rsid w:val="0083783F"/>
    <w:rsid w:val="0088166A"/>
    <w:rsid w:val="008A08DE"/>
    <w:rsid w:val="008C4248"/>
    <w:rsid w:val="008C607F"/>
    <w:rsid w:val="008E366A"/>
    <w:rsid w:val="008F63C9"/>
    <w:rsid w:val="009057C9"/>
    <w:rsid w:val="00905AF0"/>
    <w:rsid w:val="009305CE"/>
    <w:rsid w:val="00931F7F"/>
    <w:rsid w:val="00950044"/>
    <w:rsid w:val="0097646E"/>
    <w:rsid w:val="00984B56"/>
    <w:rsid w:val="009B23F5"/>
    <w:rsid w:val="009E43FC"/>
    <w:rsid w:val="009F64E8"/>
    <w:rsid w:val="00A06BCC"/>
    <w:rsid w:val="00A233EF"/>
    <w:rsid w:val="00A32034"/>
    <w:rsid w:val="00A32F1D"/>
    <w:rsid w:val="00A33C83"/>
    <w:rsid w:val="00A36DCD"/>
    <w:rsid w:val="00A466CB"/>
    <w:rsid w:val="00A557E8"/>
    <w:rsid w:val="00A82FDD"/>
    <w:rsid w:val="00A873F4"/>
    <w:rsid w:val="00AC26CF"/>
    <w:rsid w:val="00AC4D60"/>
    <w:rsid w:val="00AD7B3C"/>
    <w:rsid w:val="00AF258D"/>
    <w:rsid w:val="00B1414D"/>
    <w:rsid w:val="00B17A41"/>
    <w:rsid w:val="00B347CD"/>
    <w:rsid w:val="00B34C9B"/>
    <w:rsid w:val="00B806BB"/>
    <w:rsid w:val="00BA54F1"/>
    <w:rsid w:val="00BC2F3B"/>
    <w:rsid w:val="00BC49E7"/>
    <w:rsid w:val="00BD528C"/>
    <w:rsid w:val="00BE3426"/>
    <w:rsid w:val="00BE5C14"/>
    <w:rsid w:val="00C05D60"/>
    <w:rsid w:val="00C11614"/>
    <w:rsid w:val="00C15054"/>
    <w:rsid w:val="00C245F4"/>
    <w:rsid w:val="00C368F1"/>
    <w:rsid w:val="00C618E2"/>
    <w:rsid w:val="00C867E5"/>
    <w:rsid w:val="00C959EE"/>
    <w:rsid w:val="00CA3797"/>
    <w:rsid w:val="00CC36C1"/>
    <w:rsid w:val="00CD5AA0"/>
    <w:rsid w:val="00CD5D6A"/>
    <w:rsid w:val="00CF07CD"/>
    <w:rsid w:val="00D172E0"/>
    <w:rsid w:val="00D25CA4"/>
    <w:rsid w:val="00D27BEC"/>
    <w:rsid w:val="00D50E70"/>
    <w:rsid w:val="00DD1888"/>
    <w:rsid w:val="00DD4F4D"/>
    <w:rsid w:val="00E13D40"/>
    <w:rsid w:val="00E35CB9"/>
    <w:rsid w:val="00E37ED0"/>
    <w:rsid w:val="00E46929"/>
    <w:rsid w:val="00E72E5B"/>
    <w:rsid w:val="00E906F0"/>
    <w:rsid w:val="00EA4397"/>
    <w:rsid w:val="00EA576D"/>
    <w:rsid w:val="00EB3290"/>
    <w:rsid w:val="00ED4033"/>
    <w:rsid w:val="00F05F41"/>
    <w:rsid w:val="00F11A18"/>
    <w:rsid w:val="00F177BA"/>
    <w:rsid w:val="00F27A4C"/>
    <w:rsid w:val="00F4402A"/>
    <w:rsid w:val="00F4732C"/>
    <w:rsid w:val="00F7707C"/>
    <w:rsid w:val="00F8504B"/>
    <w:rsid w:val="00FA3147"/>
    <w:rsid w:val="00FB4F66"/>
    <w:rsid w:val="00FC2D90"/>
    <w:rsid w:val="00FC6190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3259"/>
  <w15:chartTrackingRefBased/>
  <w15:docId w15:val="{1153AD50-A054-49F6-9B62-6C5939D6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94"/>
    <w:pPr>
      <w:ind w:left="720"/>
      <w:contextualSpacing/>
    </w:pPr>
  </w:style>
  <w:style w:type="table" w:styleId="TableGrid">
    <w:name w:val="Table Grid"/>
    <w:basedOn w:val="TableNormal"/>
    <w:uiPriority w:val="39"/>
    <w:rsid w:val="00AC4D60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2E5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5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unlhr intern</dc:creator>
  <cp:keywords/>
  <dc:description/>
  <cp:lastModifiedBy>unlhr intern</cp:lastModifiedBy>
  <cp:revision>153</cp:revision>
  <cp:lastPrinted>2021-10-22T07:22:00Z</cp:lastPrinted>
  <dcterms:created xsi:type="dcterms:W3CDTF">2021-09-23T05:16:00Z</dcterms:created>
  <dcterms:modified xsi:type="dcterms:W3CDTF">2021-10-24T11:16:00Z</dcterms:modified>
</cp:coreProperties>
</file>