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基本常识</w:t>
      </w:r>
    </w:p>
    <w:p>
      <w:pPr>
        <w:numPr>
          <w:ilvl w:val="0"/>
          <w:numId w:val="2"/>
        </w:numPr>
        <w:ind w:firstLine="420" w:firstLineChars="0"/>
        <w:rPr>
          <w:rFonts w:hint="default"/>
          <w:lang w:val="en-US" w:eastAsia="zh-CN"/>
        </w:rPr>
      </w:pPr>
      <w:r>
        <w:rPr>
          <w:rFonts w:hint="eastAsia"/>
          <w:lang w:val="en-US" w:eastAsia="zh-CN"/>
        </w:rPr>
        <w:t>股票涨幅计算</w:t>
      </w:r>
    </w:p>
    <w:p>
      <w:pPr>
        <w:numPr>
          <w:ilvl w:val="0"/>
          <w:numId w:val="0"/>
        </w:numPr>
        <w:ind w:left="420" w:leftChars="0" w:firstLine="420" w:firstLineChars="0"/>
        <w:rPr>
          <w:rFonts w:hint="eastAsia"/>
          <w:lang w:val="en-US" w:eastAsia="zh-CN"/>
        </w:rPr>
      </w:pPr>
      <w:r>
        <w:rPr>
          <w:rFonts w:hint="eastAsia"/>
          <w:lang w:val="en-US" w:eastAsia="zh-CN"/>
        </w:rPr>
        <w:t>涨跌幅度=(今日收盘价-昨日收盘价)/昨日收盘价*100%</w:t>
      </w:r>
    </w:p>
    <w:p>
      <w:pPr>
        <w:numPr>
          <w:ilvl w:val="0"/>
          <w:numId w:val="2"/>
        </w:numPr>
        <w:ind w:left="0" w:leftChars="0" w:firstLine="420" w:firstLineChars="0"/>
        <w:rPr>
          <w:rFonts w:hint="default"/>
          <w:lang w:val="en-US" w:eastAsia="zh-CN"/>
        </w:rPr>
      </w:pPr>
      <w:r>
        <w:rPr>
          <w:rFonts w:hint="eastAsia"/>
          <w:lang w:val="en-US" w:eastAsia="zh-CN"/>
        </w:rPr>
        <w:t>股票发行价（略）</w:t>
      </w:r>
    </w:p>
    <w:p>
      <w:pPr>
        <w:numPr>
          <w:ilvl w:val="0"/>
          <w:numId w:val="2"/>
        </w:numPr>
        <w:ind w:left="0" w:leftChars="0" w:firstLine="420" w:firstLineChars="0"/>
        <w:rPr>
          <w:rFonts w:hint="default"/>
          <w:lang w:val="en-US" w:eastAsia="zh-CN"/>
        </w:rPr>
      </w:pPr>
      <w:r>
        <w:rPr>
          <w:rFonts w:hint="eastAsia"/>
          <w:lang w:val="en-US" w:eastAsia="zh-CN"/>
        </w:rPr>
        <w:t>股票定价（疑）</w:t>
      </w:r>
    </w:p>
    <w:p>
      <w:pPr>
        <w:widowControl w:val="0"/>
        <w:numPr>
          <w:ilvl w:val="0"/>
          <w:numId w:val="0"/>
        </w:numPr>
        <w:ind w:left="420" w:leftChars="0" w:firstLine="420" w:firstLineChars="0"/>
        <w:jc w:val="both"/>
        <w:rPr>
          <w:rFonts w:hint="default"/>
          <w:lang w:val="en-US" w:eastAsia="zh-CN"/>
        </w:rPr>
      </w:pPr>
      <w:r>
        <w:rPr>
          <w:rFonts w:hint="default"/>
          <w:lang w:val="en-US" w:eastAsia="zh-CN"/>
        </w:rPr>
        <w:t>股票定价</w:t>
      </w:r>
      <w:r>
        <w:rPr>
          <w:rFonts w:hint="eastAsia"/>
          <w:lang w:val="en-US" w:eastAsia="zh-CN"/>
        </w:rPr>
        <w:t xml:space="preserve"> = </w:t>
      </w:r>
      <w:r>
        <w:rPr>
          <w:rFonts w:hint="default"/>
          <w:lang w:val="en-US" w:eastAsia="zh-CN"/>
        </w:rPr>
        <w:t>每股的股价等于市盈率×每股收益</w:t>
      </w:r>
    </w:p>
    <w:p>
      <w:pPr>
        <w:numPr>
          <w:ilvl w:val="0"/>
          <w:numId w:val="2"/>
        </w:numPr>
        <w:ind w:left="0" w:leftChars="0" w:firstLine="420" w:firstLineChars="0"/>
        <w:rPr>
          <w:rFonts w:hint="default"/>
          <w:lang w:val="en-US" w:eastAsia="zh-CN"/>
        </w:rPr>
      </w:pPr>
      <w:r>
        <w:rPr>
          <w:rFonts w:hint="eastAsia"/>
          <w:lang w:val="en-US" w:eastAsia="zh-CN"/>
        </w:rPr>
        <w:t>股票实时成交价（即时价格）</w:t>
      </w:r>
    </w:p>
    <w:p>
      <w:pPr>
        <w:widowControl w:val="0"/>
        <w:numPr>
          <w:ilvl w:val="0"/>
          <w:numId w:val="0"/>
        </w:numPr>
        <w:ind w:left="420" w:leftChars="0" w:firstLine="420" w:firstLineChars="0"/>
        <w:jc w:val="both"/>
        <w:rPr>
          <w:rFonts w:hint="eastAsia" w:ascii="微软雅黑" w:hAnsi="微软雅黑" w:eastAsia="微软雅黑" w:cs="微软雅黑"/>
          <w:i w:val="0"/>
          <w:caps w:val="0"/>
          <w:spacing w:val="0"/>
          <w:sz w:val="21"/>
          <w:szCs w:val="21"/>
          <w:u w:val="none"/>
          <w:shd w:val="clear" w:fill="FFFFFF"/>
        </w:rPr>
      </w:pPr>
      <w:r>
        <w:rPr>
          <w:rFonts w:ascii="微软雅黑" w:hAnsi="微软雅黑" w:eastAsia="微软雅黑" w:cs="微软雅黑"/>
          <w:i w:val="0"/>
          <w:caps w:val="0"/>
          <w:spacing w:val="0"/>
          <w:sz w:val="21"/>
          <w:szCs w:val="21"/>
          <w:u w:val="none"/>
          <w:shd w:val="clear" w:fill="FFFFFF"/>
        </w:rPr>
        <w:fldChar w:fldCharType="begin"/>
      </w:r>
      <w:r>
        <w:rPr>
          <w:rFonts w:ascii="微软雅黑" w:hAnsi="微软雅黑" w:eastAsia="微软雅黑" w:cs="微软雅黑"/>
          <w:i w:val="0"/>
          <w:caps w:val="0"/>
          <w:spacing w:val="0"/>
          <w:sz w:val="21"/>
          <w:szCs w:val="21"/>
          <w:u w:val="none"/>
          <w:shd w:val="clear" w:fill="FFFFFF"/>
        </w:rPr>
        <w:instrText xml:space="preserve"> HYPERLINK "https://link.zhihu.com/?target=http://wiki.mbalib.com/wiki/%E9%9B%86%E5%90%88%E7%AB%9E%E4%BB%B7" \t "https://www.zhihu.com/question/_blank" </w:instrText>
      </w:r>
      <w:r>
        <w:rPr>
          <w:rFonts w:ascii="微软雅黑" w:hAnsi="微软雅黑" w:eastAsia="微软雅黑" w:cs="微软雅黑"/>
          <w:i w:val="0"/>
          <w:caps w:val="0"/>
          <w:spacing w:val="0"/>
          <w:sz w:val="21"/>
          <w:szCs w:val="21"/>
          <w:u w:val="none"/>
          <w:shd w:val="clear" w:fill="FFFFFF"/>
        </w:rPr>
        <w:fldChar w:fldCharType="separate"/>
      </w:r>
      <w:r>
        <w:rPr>
          <w:rStyle w:val="6"/>
          <w:rFonts w:hint="eastAsia" w:ascii="微软雅黑" w:hAnsi="微软雅黑" w:eastAsia="微软雅黑" w:cs="微软雅黑"/>
          <w:i w:val="0"/>
          <w:caps w:val="0"/>
          <w:spacing w:val="0"/>
          <w:sz w:val="21"/>
          <w:szCs w:val="21"/>
          <w:u w:val="none"/>
          <w:shd w:val="clear" w:fill="FFFFFF"/>
        </w:rPr>
        <w:t>集合竞价交易制度 - MBA智库百科</w:t>
      </w:r>
      <w:r>
        <w:rPr>
          <w:rFonts w:hint="eastAsia" w:ascii="微软雅黑" w:hAnsi="微软雅黑" w:eastAsia="微软雅黑" w:cs="微软雅黑"/>
          <w:i w:val="0"/>
          <w:caps w:val="0"/>
          <w:spacing w:val="0"/>
          <w:sz w:val="21"/>
          <w:szCs w:val="21"/>
          <w:u w:val="none"/>
          <w:shd w:val="clear" w:fill="FFFFFF"/>
        </w:rPr>
        <w:fldChar w:fldCharType="end"/>
      </w:r>
    </w:p>
    <w:p>
      <w:pPr>
        <w:widowControl w:val="0"/>
        <w:numPr>
          <w:ilvl w:val="0"/>
          <w:numId w:val="0"/>
        </w:numPr>
        <w:ind w:left="420" w:leftChars="0" w:firstLine="420" w:firstLineChars="0"/>
        <w:jc w:val="both"/>
        <w:rPr>
          <w:rFonts w:hint="default" w:ascii="微软雅黑" w:hAnsi="微软雅黑" w:eastAsia="微软雅黑" w:cs="微软雅黑"/>
          <w:i w:val="0"/>
          <w:caps w:val="0"/>
          <w:spacing w:val="0"/>
          <w:sz w:val="21"/>
          <w:szCs w:val="21"/>
          <w:u w:val="none"/>
          <w:shd w:val="clear" w:fill="FFFFFF"/>
          <w:lang w:val="en-US" w:eastAsia="zh-CN"/>
        </w:rPr>
      </w:pPr>
      <w:r>
        <w:rPr>
          <w:rFonts w:ascii="微软雅黑" w:hAnsi="微软雅黑" w:eastAsia="微软雅黑" w:cs="微软雅黑"/>
          <w:i w:val="0"/>
          <w:caps w:val="0"/>
          <w:spacing w:val="0"/>
          <w:sz w:val="21"/>
          <w:szCs w:val="21"/>
          <w:u w:val="none"/>
          <w:shd w:val="clear" w:fill="FFFFFF"/>
        </w:rPr>
        <w:fldChar w:fldCharType="begin"/>
      </w:r>
      <w:r>
        <w:rPr>
          <w:rFonts w:ascii="微软雅黑" w:hAnsi="微软雅黑" w:eastAsia="微软雅黑" w:cs="微软雅黑"/>
          <w:i w:val="0"/>
          <w:caps w:val="0"/>
          <w:spacing w:val="0"/>
          <w:sz w:val="21"/>
          <w:szCs w:val="21"/>
          <w:u w:val="none"/>
          <w:shd w:val="clear" w:fill="FFFFFF"/>
        </w:rPr>
        <w:instrText xml:space="preserve"> HYPERLINK "https://link.zhihu.com/?target=http://wiki.mbalib.com/wiki/%E8%BF%9E%E7%BB%AD%E7%AB%9E%E4%BB%B7" \t "https://www.zhihu.com/question/_blank" </w:instrText>
      </w:r>
      <w:r>
        <w:rPr>
          <w:rFonts w:ascii="微软雅黑" w:hAnsi="微软雅黑" w:eastAsia="微软雅黑" w:cs="微软雅黑"/>
          <w:i w:val="0"/>
          <w:caps w:val="0"/>
          <w:spacing w:val="0"/>
          <w:sz w:val="21"/>
          <w:szCs w:val="21"/>
          <w:u w:val="none"/>
          <w:shd w:val="clear" w:fill="FFFFFF"/>
        </w:rPr>
        <w:fldChar w:fldCharType="separate"/>
      </w:r>
      <w:r>
        <w:rPr>
          <w:rStyle w:val="6"/>
          <w:rFonts w:hint="eastAsia" w:ascii="微软雅黑" w:hAnsi="微软雅黑" w:eastAsia="微软雅黑" w:cs="微软雅黑"/>
          <w:i w:val="0"/>
          <w:caps w:val="0"/>
          <w:spacing w:val="0"/>
          <w:sz w:val="21"/>
          <w:szCs w:val="21"/>
          <w:u w:val="none"/>
          <w:shd w:val="clear" w:fill="FFFFFF"/>
        </w:rPr>
        <w:t>连续竞价交易制度 - MBA智库百科</w:t>
      </w:r>
      <w:r>
        <w:rPr>
          <w:rFonts w:hint="eastAsia" w:ascii="微软雅黑" w:hAnsi="微软雅黑" w:eastAsia="微软雅黑" w:cs="微软雅黑"/>
          <w:i w:val="0"/>
          <w:caps w:val="0"/>
          <w:spacing w:val="0"/>
          <w:sz w:val="21"/>
          <w:szCs w:val="21"/>
          <w:u w:val="none"/>
          <w:shd w:val="clear" w:fill="FFFFFF"/>
        </w:rPr>
        <w:fldChar w:fldCharType="end"/>
      </w:r>
    </w:p>
    <w:p>
      <w:pPr>
        <w:numPr>
          <w:ilvl w:val="0"/>
          <w:numId w:val="2"/>
        </w:numPr>
        <w:ind w:left="0" w:leftChars="0" w:firstLine="420" w:firstLineChars="0"/>
        <w:rPr>
          <w:rFonts w:hint="default"/>
          <w:lang w:val="en-US" w:eastAsia="zh-CN"/>
        </w:rPr>
      </w:pPr>
      <w:r>
        <w:rPr>
          <w:rFonts w:hint="eastAsia"/>
          <w:lang w:val="en-US" w:eastAsia="zh-CN"/>
        </w:rPr>
        <w:t>股价受影响的因素</w:t>
      </w:r>
    </w:p>
    <w:p>
      <w:pPr>
        <w:numPr>
          <w:ilvl w:val="0"/>
          <w:numId w:val="2"/>
        </w:numPr>
        <w:ind w:left="0" w:leftChars="0" w:firstLine="420" w:firstLineChars="0"/>
        <w:rPr>
          <w:rFonts w:hint="eastAsia"/>
          <w:lang w:val="en-US" w:eastAsia="zh-CN"/>
        </w:rPr>
      </w:pPr>
      <w:r>
        <w:rPr>
          <w:rFonts w:hint="eastAsia"/>
          <w:lang w:val="en-US" w:eastAsia="zh-CN"/>
        </w:rPr>
        <w:t>南北向资金</w:t>
      </w:r>
    </w:p>
    <w:p>
      <w:pPr>
        <w:numPr>
          <w:ilvl w:val="0"/>
          <w:numId w:val="0"/>
        </w:numPr>
        <w:ind w:left="420" w:leftChars="0" w:firstLine="420" w:firstLineChars="0"/>
        <w:rPr>
          <w:rFonts w:hint="eastAsia"/>
          <w:lang w:val="en-US" w:eastAsia="zh-CN"/>
        </w:rPr>
      </w:pPr>
      <w:r>
        <w:rPr>
          <w:rFonts w:hint="eastAsia"/>
          <w:lang w:val="en-US" w:eastAsia="zh-CN"/>
        </w:rPr>
        <w:t>由香港流向沪深的资金称为北向资金，同理由沪深流向香港的资金称为南向资金，反映了投资者对两个投资市场的热情程度</w:t>
      </w:r>
    </w:p>
    <w:p>
      <w:pPr>
        <w:numPr>
          <w:ilvl w:val="0"/>
          <w:numId w:val="2"/>
        </w:numPr>
        <w:ind w:left="0" w:leftChars="0" w:firstLine="420" w:firstLineChars="0"/>
        <w:rPr>
          <w:rFonts w:hint="default"/>
          <w:lang w:val="en-US" w:eastAsia="zh-CN"/>
        </w:rPr>
      </w:pPr>
      <w:r>
        <w:rPr>
          <w:rFonts w:hint="eastAsia"/>
          <w:lang w:val="en-US" w:eastAsia="zh-CN"/>
        </w:rPr>
        <w:t>大盘指标【需明确其代表的含义】</w:t>
      </w:r>
    </w:p>
    <w:p>
      <w:pPr>
        <w:numPr>
          <w:ilvl w:val="0"/>
          <w:numId w:val="3"/>
        </w:numPr>
        <w:ind w:left="420" w:leftChars="0" w:firstLine="420" w:firstLineChars="0"/>
        <w:rPr>
          <w:rFonts w:hint="default"/>
          <w:lang w:val="en-US" w:eastAsia="zh-CN"/>
        </w:rPr>
      </w:pPr>
      <w:r>
        <w:rPr>
          <w:rFonts w:hint="eastAsia"/>
          <w:lang w:val="en-US" w:eastAsia="zh-CN"/>
        </w:rPr>
        <w:t>成交量：买卖双方达成交易的数量</w:t>
      </w:r>
    </w:p>
    <w:p>
      <w:pPr>
        <w:numPr>
          <w:ilvl w:val="0"/>
          <w:numId w:val="3"/>
        </w:numPr>
        <w:ind w:left="420" w:leftChars="0" w:firstLine="420" w:firstLineChars="0"/>
        <w:rPr>
          <w:rFonts w:hint="default"/>
          <w:lang w:val="en-US" w:eastAsia="zh-CN"/>
        </w:rPr>
      </w:pPr>
      <w:r>
        <w:rPr>
          <w:rFonts w:hint="default"/>
          <w:lang w:val="en-US" w:eastAsia="zh-CN"/>
        </w:rPr>
        <w:t>换手率=某一段时期内的成交量/发行总股数×100%</w:t>
      </w:r>
    </w:p>
    <w:p>
      <w:pPr>
        <w:numPr>
          <w:ilvl w:val="0"/>
          <w:numId w:val="3"/>
        </w:numPr>
        <w:ind w:left="420" w:leftChars="0" w:firstLine="420" w:firstLineChars="0"/>
        <w:rPr>
          <w:rFonts w:hint="default"/>
          <w:lang w:val="en-US" w:eastAsia="zh-CN"/>
        </w:rPr>
      </w:pPr>
      <w:r>
        <w:rPr>
          <w:rFonts w:hint="eastAsia"/>
          <w:lang w:val="en-US" w:eastAsia="zh-CN"/>
        </w:rPr>
        <w:t>流值：流通市值大的股票波动较小，一般适于中长线操作；流通市值小的股票波动较大，一般适于短线操作。流通市值大没有绝对的好还是不好的。流通市值的大小对于主力来说最直接的意义就是控盘资金规模，所以实力一般的机构是尽量少碰大市值的股票的，进去了也是划水而已。</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信息处理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了解不同基金特点</w:t>
      </w:r>
    </w:p>
    <w:p>
      <w:pPr>
        <w:widowControl w:val="0"/>
        <w:numPr>
          <w:ilvl w:val="0"/>
          <w:numId w:val="4"/>
        </w:numPr>
        <w:ind w:firstLine="420" w:firstLineChars="0"/>
        <w:jc w:val="both"/>
        <w:rPr>
          <w:rFonts w:hint="default"/>
          <w:lang w:val="en-US" w:eastAsia="zh-CN"/>
        </w:rPr>
      </w:pPr>
      <w:r>
        <w:rPr>
          <w:rFonts w:hint="eastAsia"/>
          <w:lang w:val="en-US" w:eastAsia="zh-CN"/>
        </w:rPr>
        <w:t>股票型</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eastAsia"/>
          <w:lang w:val="en-US" w:eastAsia="zh-CN"/>
        </w:rPr>
      </w:pPr>
      <w:r>
        <w:rPr>
          <w:rFonts w:hint="eastAsia"/>
          <w:lang w:val="en-US" w:eastAsia="zh-CN"/>
        </w:rPr>
        <w:t>挑选基金</w:t>
      </w:r>
    </w:p>
    <w:p>
      <w:pPr>
        <w:widowControl w:val="0"/>
        <w:numPr>
          <w:ilvl w:val="0"/>
          <w:numId w:val="5"/>
        </w:numPr>
        <w:ind w:leftChars="0" w:firstLine="420" w:firstLineChars="0"/>
        <w:jc w:val="both"/>
        <w:rPr>
          <w:rFonts w:hint="eastAsia"/>
          <w:lang w:val="en-US" w:eastAsia="zh-CN"/>
        </w:rPr>
      </w:pPr>
      <w:r>
        <w:rPr>
          <w:rFonts w:hint="eastAsia"/>
          <w:lang w:val="en-US" w:eastAsia="zh-CN"/>
        </w:rPr>
        <w:t>PE估值</w:t>
      </w:r>
    </w:p>
    <w:p>
      <w:pPr>
        <w:widowControl w:val="0"/>
        <w:numPr>
          <w:ilvl w:val="0"/>
          <w:numId w:val="6"/>
        </w:numPr>
        <w:tabs>
          <w:tab w:val="left" w:pos="312"/>
        </w:tabs>
        <w:ind w:left="840" w:leftChars="0" w:firstLine="0" w:firstLineChars="0"/>
        <w:jc w:val="both"/>
        <w:rPr>
          <w:rFonts w:hint="eastAsia"/>
          <w:lang w:val="en-US" w:eastAsia="zh-CN"/>
        </w:rPr>
      </w:pPr>
      <w:r>
        <w:rPr>
          <w:rFonts w:hint="eastAsia"/>
          <w:lang w:val="en-US" w:eastAsia="zh-CN"/>
        </w:rPr>
        <w:t>盈利稳定且有一定规模的标的，比如市政等；</w:t>
      </w:r>
    </w:p>
    <w:p>
      <w:pPr>
        <w:widowControl w:val="0"/>
        <w:numPr>
          <w:ilvl w:val="0"/>
          <w:numId w:val="6"/>
        </w:numPr>
        <w:tabs>
          <w:tab w:val="left" w:pos="312"/>
        </w:tabs>
        <w:ind w:left="840" w:leftChars="0" w:firstLine="0" w:firstLineChars="0"/>
        <w:jc w:val="both"/>
        <w:rPr>
          <w:rFonts w:hint="eastAsia"/>
          <w:lang w:val="en-US" w:eastAsia="zh-CN"/>
        </w:rPr>
      </w:pPr>
      <w:r>
        <w:rPr>
          <w:rFonts w:hint="eastAsia"/>
          <w:lang w:val="en-US" w:eastAsia="zh-CN"/>
        </w:rPr>
        <w:t>盈利能保持正增长且有一定规模的标的 ，这类就对应着我们所说的成长股。</w:t>
      </w:r>
    </w:p>
    <w:p>
      <w:pPr>
        <w:widowControl w:val="0"/>
        <w:numPr>
          <w:ilvl w:val="0"/>
          <w:numId w:val="0"/>
        </w:numPr>
        <w:tabs>
          <w:tab w:val="left" w:pos="312"/>
        </w:tabs>
        <w:ind w:left="840" w:leftChars="0"/>
        <w:jc w:val="both"/>
        <w:rPr>
          <w:rFonts w:hint="default"/>
          <w:lang w:val="en-US" w:eastAsia="zh-CN"/>
        </w:rPr>
      </w:pPr>
    </w:p>
    <w:p>
      <w:pPr>
        <w:widowControl w:val="0"/>
        <w:numPr>
          <w:ilvl w:val="0"/>
          <w:numId w:val="5"/>
        </w:numPr>
        <w:ind w:left="0" w:leftChars="0" w:firstLine="420" w:firstLineChars="0"/>
        <w:jc w:val="both"/>
        <w:rPr>
          <w:rFonts w:hint="default"/>
          <w:lang w:val="en-US" w:eastAsia="zh-CN"/>
        </w:rPr>
      </w:pPr>
      <w:r>
        <w:rPr>
          <w:rFonts w:hint="eastAsia"/>
          <w:lang w:val="en-US" w:eastAsia="zh-CN"/>
        </w:rPr>
        <w:t>PB估值</w:t>
      </w:r>
    </w:p>
    <w:p>
      <w:pPr>
        <w:widowControl w:val="0"/>
        <w:numPr>
          <w:ilvl w:val="0"/>
          <w:numId w:val="0"/>
        </w:numPr>
        <w:ind w:left="420" w:leftChars="0" w:firstLine="420" w:firstLineChars="0"/>
        <w:jc w:val="both"/>
        <w:rPr>
          <w:rFonts w:hint="default"/>
          <w:lang w:val="en-US" w:eastAsia="zh-CN"/>
        </w:rPr>
      </w:pPr>
      <w:r>
        <w:rPr>
          <w:rFonts w:hint="default"/>
          <w:lang w:val="en-US" w:eastAsia="zh-CN"/>
        </w:rPr>
        <w:t>①净资产体量大、利润少的标的，比如资源股等；</w:t>
      </w:r>
    </w:p>
    <w:p>
      <w:pPr>
        <w:widowControl w:val="0"/>
        <w:numPr>
          <w:ilvl w:val="0"/>
          <w:numId w:val="0"/>
        </w:numPr>
        <w:ind w:left="420" w:leftChars="0" w:firstLine="420" w:firstLineChars="0"/>
        <w:jc w:val="both"/>
        <w:rPr>
          <w:rFonts w:hint="default"/>
          <w:lang w:val="en-US" w:eastAsia="zh-CN"/>
        </w:rPr>
      </w:pPr>
      <w:r>
        <w:rPr>
          <w:rFonts w:hint="default"/>
          <w:lang w:val="en-US" w:eastAsia="zh-CN"/>
        </w:rPr>
        <w:t>②利润波动特别大、无法保持增长的标的，比如说包括券商在内的周期股；</w:t>
      </w:r>
    </w:p>
    <w:p>
      <w:pPr>
        <w:widowControl w:val="0"/>
        <w:numPr>
          <w:ilvl w:val="0"/>
          <w:numId w:val="5"/>
        </w:numPr>
        <w:ind w:leftChars="0" w:firstLine="420" w:firstLineChars="0"/>
        <w:jc w:val="both"/>
        <w:rPr>
          <w:rFonts w:hint="default"/>
          <w:lang w:val="en-US" w:eastAsia="zh-CN"/>
        </w:rPr>
      </w:pPr>
      <w:r>
        <w:rPr>
          <w:rFonts w:hint="eastAsia"/>
          <w:lang w:val="en-US" w:eastAsia="zh-CN"/>
        </w:rPr>
        <w:t>单位净值、累计净值</w:t>
      </w:r>
    </w:p>
    <w:p>
      <w:pPr>
        <w:widowControl w:val="0"/>
        <w:numPr>
          <w:ilvl w:val="0"/>
          <w:numId w:val="5"/>
        </w:numPr>
        <w:ind w:leftChars="0" w:firstLine="420" w:firstLineChars="0"/>
        <w:jc w:val="both"/>
        <w:rPr>
          <w:rFonts w:hint="default"/>
          <w:lang w:val="en-US" w:eastAsia="zh-CN"/>
        </w:rPr>
      </w:pPr>
      <w:r>
        <w:rPr>
          <w:rFonts w:hint="eastAsia"/>
          <w:lang w:val="en-US" w:eastAsia="zh-CN"/>
        </w:rPr>
        <w:t>涨幅</w:t>
      </w:r>
    </w:p>
    <w:p>
      <w:pPr>
        <w:widowControl w:val="0"/>
        <w:numPr>
          <w:ilvl w:val="0"/>
          <w:numId w:val="5"/>
        </w:numPr>
        <w:ind w:leftChars="0" w:firstLine="420" w:firstLineChars="0"/>
        <w:jc w:val="both"/>
        <w:rPr>
          <w:rFonts w:hint="default"/>
          <w:lang w:val="en-US" w:eastAsia="zh-CN"/>
        </w:rPr>
      </w:pPr>
      <w:r>
        <w:rPr>
          <w:rFonts w:hint="eastAsia"/>
          <w:lang w:val="en-US" w:eastAsia="zh-CN"/>
        </w:rPr>
        <w:t>基金组合</w:t>
      </w:r>
    </w:p>
    <w:p>
      <w:pPr>
        <w:widowControl w:val="0"/>
        <w:numPr>
          <w:ilvl w:val="0"/>
          <w:numId w:val="5"/>
        </w:numPr>
        <w:ind w:leftChars="0" w:firstLine="420" w:firstLineChars="0"/>
        <w:jc w:val="both"/>
        <w:rPr>
          <w:rFonts w:hint="default"/>
          <w:lang w:val="en-US" w:eastAsia="zh-CN"/>
        </w:rPr>
      </w:pPr>
      <w:r>
        <w:rPr>
          <w:rFonts w:hint="eastAsia"/>
          <w:lang w:val="en-US" w:eastAsia="zh-CN"/>
        </w:rPr>
        <w:t>经理人</w:t>
      </w:r>
    </w:p>
    <w:p>
      <w:pPr>
        <w:widowControl w:val="0"/>
        <w:numPr>
          <w:ilvl w:val="0"/>
          <w:numId w:val="5"/>
        </w:numPr>
        <w:ind w:leftChars="0" w:firstLine="420" w:firstLineChars="0"/>
        <w:jc w:val="both"/>
        <w:rPr>
          <w:rFonts w:hint="default"/>
          <w:lang w:val="en-US" w:eastAsia="zh-CN"/>
        </w:rPr>
      </w:pPr>
      <w:r>
        <w:rPr>
          <w:rFonts w:hint="eastAsia"/>
          <w:lang w:val="en-US" w:eastAsia="zh-CN"/>
        </w:rPr>
        <w:t>评级</w:t>
      </w:r>
    </w:p>
    <w:p>
      <w:pPr>
        <w:widowControl w:val="0"/>
        <w:numPr>
          <w:ilvl w:val="0"/>
          <w:numId w:val="5"/>
        </w:numPr>
        <w:ind w:leftChars="0" w:firstLine="420" w:firstLineChars="0"/>
        <w:jc w:val="both"/>
        <w:rPr>
          <w:rFonts w:hint="default"/>
          <w:lang w:val="en-US" w:eastAsia="zh-CN"/>
        </w:rPr>
      </w:pPr>
      <w:r>
        <w:rPr>
          <w:rFonts w:hint="default"/>
          <w:lang w:val="en-US" w:eastAsia="zh-CN"/>
        </w:rPr>
        <w:t>将基金收益与股票大盘走势进行比较</w:t>
      </w:r>
    </w:p>
    <w:p>
      <w:pPr>
        <w:widowControl w:val="0"/>
        <w:numPr>
          <w:ilvl w:val="0"/>
          <w:numId w:val="5"/>
        </w:numPr>
        <w:ind w:leftChars="0" w:firstLine="420" w:firstLineChars="0"/>
        <w:jc w:val="both"/>
        <w:rPr>
          <w:rFonts w:hint="default"/>
          <w:lang w:val="en-US" w:eastAsia="zh-CN"/>
        </w:rPr>
      </w:pPr>
      <w:r>
        <w:rPr>
          <w:rFonts w:hint="default"/>
          <w:lang w:val="en-US" w:eastAsia="zh-CN"/>
        </w:rPr>
        <w:t>将基金收益与其他同类基金的收益进行比较</w:t>
      </w:r>
    </w:p>
    <w:p>
      <w:pPr>
        <w:widowControl w:val="0"/>
        <w:numPr>
          <w:ilvl w:val="0"/>
          <w:numId w:val="5"/>
        </w:numPr>
        <w:ind w:leftChars="0" w:firstLine="420" w:firstLineChars="0"/>
        <w:jc w:val="both"/>
        <w:rPr>
          <w:rFonts w:hint="default"/>
          <w:lang w:val="en-US" w:eastAsia="zh-CN"/>
        </w:rPr>
      </w:pPr>
      <w:r>
        <w:rPr>
          <w:rFonts w:hint="default"/>
          <w:lang w:val="en-US" w:eastAsia="zh-CN"/>
        </w:rPr>
        <w:t>将基金的当期收益与历史收益进行比较</w:t>
      </w:r>
    </w:p>
    <w:p>
      <w:pPr>
        <w:widowControl w:val="0"/>
        <w:numPr>
          <w:ilvl w:val="0"/>
          <w:numId w:val="5"/>
        </w:numPr>
        <w:ind w:leftChars="0" w:firstLine="420" w:firstLineChars="0"/>
        <w:jc w:val="both"/>
        <w:rPr>
          <w:rFonts w:hint="default"/>
          <w:lang w:val="en-US" w:eastAsia="zh-CN"/>
        </w:rPr>
      </w:pPr>
      <w:r>
        <w:rPr>
          <w:rFonts w:hint="eastAsia"/>
          <w:lang w:val="en-US" w:eastAsia="zh-CN"/>
        </w:rPr>
        <w:t>夏普比率</w:t>
      </w:r>
    </w:p>
    <w:p>
      <w:pPr>
        <w:widowControl w:val="0"/>
        <w:numPr>
          <w:ilvl w:val="0"/>
          <w:numId w:val="5"/>
        </w:numPr>
        <w:ind w:leftChars="0" w:firstLine="420" w:firstLineChars="0"/>
        <w:jc w:val="both"/>
        <w:rPr>
          <w:rFonts w:hint="default"/>
          <w:lang w:val="en-US" w:eastAsia="zh-CN"/>
        </w:rPr>
      </w:pPr>
      <w:r>
        <w:rPr>
          <w:rFonts w:hint="eastAsia"/>
          <w:lang w:val="en-US" w:eastAsia="zh-CN"/>
        </w:rPr>
        <w:t>波动率</w:t>
      </w:r>
    </w:p>
    <w:p>
      <w:pPr>
        <w:widowControl w:val="0"/>
        <w:numPr>
          <w:ilvl w:val="0"/>
          <w:numId w:val="5"/>
        </w:numPr>
        <w:ind w:leftChars="0" w:firstLine="420" w:firstLineChars="0"/>
        <w:jc w:val="both"/>
        <w:rPr>
          <w:rFonts w:hint="default"/>
          <w:lang w:val="en-US" w:eastAsia="zh-CN"/>
        </w:rPr>
      </w:pPr>
      <w:r>
        <w:rPr>
          <w:rFonts w:hint="eastAsia"/>
          <w:lang w:val="en-US" w:eastAsia="zh-CN"/>
        </w:rPr>
        <w:t>最大回测</w:t>
      </w:r>
    </w:p>
    <w:p>
      <w:pPr>
        <w:widowControl w:val="0"/>
        <w:numPr>
          <w:ilvl w:val="0"/>
          <w:numId w:val="5"/>
        </w:numPr>
        <w:ind w:leftChars="0" w:firstLine="420" w:firstLineChars="0"/>
        <w:jc w:val="both"/>
        <w:rPr>
          <w:rFonts w:hint="default"/>
          <w:lang w:val="en-US" w:eastAsia="zh-CN"/>
        </w:rPr>
      </w:pPr>
      <w:r>
        <w:rPr>
          <w:rFonts w:hint="eastAsia"/>
          <w:lang w:val="en-US" w:eastAsia="zh-CN"/>
        </w:rPr>
        <w:t>收益回测比</w:t>
      </w:r>
    </w:p>
    <w:p>
      <w:pPr>
        <w:widowControl w:val="0"/>
        <w:numPr>
          <w:ilvl w:val="0"/>
          <w:numId w:val="5"/>
        </w:numPr>
        <w:ind w:leftChars="0" w:firstLine="420" w:firstLineChars="0"/>
        <w:jc w:val="both"/>
        <w:rPr>
          <w:rFonts w:hint="default"/>
          <w:lang w:val="en-US" w:eastAsia="zh-CN"/>
        </w:rPr>
      </w:pPr>
      <w:r>
        <w:rPr>
          <w:rFonts w:hint="eastAsia"/>
          <w:lang w:val="en-US" w:eastAsia="zh-CN"/>
        </w:rPr>
        <w:t>相对估值</w:t>
      </w:r>
    </w:p>
    <w:p>
      <w:pPr>
        <w:widowControl w:val="0"/>
        <w:numPr>
          <w:ilvl w:val="0"/>
          <w:numId w:val="5"/>
        </w:numPr>
        <w:ind w:leftChars="0" w:firstLine="420" w:firstLineChars="0"/>
        <w:jc w:val="both"/>
        <w:rPr>
          <w:rFonts w:hint="default"/>
          <w:lang w:val="en-US" w:eastAsia="zh-CN"/>
        </w:rPr>
      </w:pPr>
      <w:r>
        <w:rPr>
          <w:rFonts w:hint="eastAsia"/>
          <w:lang w:val="en-US" w:eastAsia="zh-CN"/>
        </w:rPr>
        <w:t>绝对估值</w:t>
      </w:r>
    </w:p>
    <w:p>
      <w:pPr>
        <w:widowControl w:val="0"/>
        <w:numPr>
          <w:ilvl w:val="0"/>
          <w:numId w:val="5"/>
        </w:numPr>
        <w:ind w:leftChars="0" w:firstLine="420" w:firstLineChars="0"/>
        <w:jc w:val="both"/>
        <w:rPr>
          <w:rFonts w:hint="default"/>
          <w:lang w:val="en-US" w:eastAsia="zh-CN"/>
        </w:rPr>
      </w:pPr>
      <w:r>
        <w:rPr>
          <w:rFonts w:hint="eastAsia"/>
          <w:lang w:val="en-US" w:eastAsia="zh-CN"/>
        </w:rPr>
        <w:t>ROE</w:t>
      </w:r>
    </w:p>
    <w:p>
      <w:pPr>
        <w:widowControl w:val="0"/>
        <w:numPr>
          <w:ilvl w:val="0"/>
          <w:numId w:val="0"/>
        </w:numPr>
        <w:ind w:left="420" w:leftChars="0"/>
        <w:jc w:val="both"/>
        <w:rPr>
          <w:rFonts w:hint="eastAsia"/>
          <w:lang w:val="en-US" w:eastAsia="zh-CN"/>
        </w:rPr>
      </w:pPr>
    </w:p>
    <w:p>
      <w:pPr>
        <w:widowControl w:val="0"/>
        <w:numPr>
          <w:ilvl w:val="0"/>
          <w:numId w:val="0"/>
        </w:numPr>
        <w:ind w:left="420" w:left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把握投资时机（进场）</w:t>
      </w:r>
    </w:p>
    <w:p>
      <w:pPr>
        <w:widowControl w:val="0"/>
        <w:numPr>
          <w:ilvl w:val="0"/>
          <w:numId w:val="7"/>
        </w:numPr>
        <w:ind w:leftChars="0" w:firstLine="420" w:firstLineChars="0"/>
        <w:jc w:val="both"/>
        <w:rPr>
          <w:rFonts w:hint="eastAsia"/>
          <w:lang w:val="en-US" w:eastAsia="zh-CN"/>
        </w:rPr>
      </w:pPr>
      <w:r>
        <w:rPr>
          <w:rFonts w:hint="eastAsia"/>
          <w:lang w:val="en-US" w:eastAsia="zh-CN"/>
        </w:rPr>
        <w:t>根据市场大势做出判断</w:t>
      </w:r>
    </w:p>
    <w:p>
      <w:pPr>
        <w:widowControl w:val="0"/>
        <w:numPr>
          <w:ilvl w:val="0"/>
          <w:numId w:val="8"/>
        </w:numPr>
        <w:ind w:left="420" w:leftChars="0" w:firstLine="420" w:firstLineChars="0"/>
        <w:jc w:val="both"/>
        <w:rPr>
          <w:rFonts w:hint="default"/>
          <w:lang w:val="en-US" w:eastAsia="zh-CN"/>
        </w:rPr>
      </w:pPr>
      <w:r>
        <w:rPr>
          <w:rFonts w:hint="default"/>
          <w:lang w:val="en-US" w:eastAsia="zh-CN"/>
        </w:rPr>
        <w:t>就是目前的经济走势到底是向好</w:t>
      </w:r>
      <w:r>
        <w:rPr>
          <w:rFonts w:hint="eastAsia"/>
          <w:lang w:val="en-US" w:eastAsia="zh-CN"/>
        </w:rPr>
        <w:t>还是向坏</w:t>
      </w:r>
    </w:p>
    <w:p>
      <w:pPr>
        <w:widowControl w:val="0"/>
        <w:numPr>
          <w:ilvl w:val="0"/>
          <w:numId w:val="8"/>
        </w:numPr>
        <w:ind w:left="420" w:leftChars="0" w:firstLine="420" w:firstLineChars="0"/>
        <w:jc w:val="both"/>
        <w:rPr>
          <w:rFonts w:hint="default"/>
          <w:lang w:val="en-US" w:eastAsia="zh-CN"/>
        </w:rPr>
      </w:pPr>
      <w:r>
        <w:rPr>
          <w:rFonts w:hint="eastAsia"/>
          <w:lang w:val="en-US" w:eastAsia="zh-CN"/>
        </w:rPr>
        <w:t>判断当前是牛市、调整期、还是熊市</w:t>
      </w:r>
    </w:p>
    <w:p>
      <w:pPr>
        <w:widowControl w:val="0"/>
        <w:numPr>
          <w:ilvl w:val="0"/>
          <w:numId w:val="7"/>
        </w:numPr>
        <w:ind w:left="0" w:leftChars="0" w:firstLine="420" w:firstLineChars="0"/>
        <w:jc w:val="both"/>
        <w:rPr>
          <w:rFonts w:hint="default"/>
          <w:lang w:val="en-US" w:eastAsia="zh-CN"/>
        </w:rPr>
      </w:pPr>
      <w:r>
        <w:rPr>
          <w:rFonts w:hint="default"/>
          <w:lang w:val="en-US" w:eastAsia="zh-CN"/>
        </w:rPr>
        <w:t>通过外界的信息做出判断</w:t>
      </w:r>
    </w:p>
    <w:p>
      <w:pPr>
        <w:widowControl w:val="0"/>
        <w:numPr>
          <w:ilvl w:val="0"/>
          <w:numId w:val="9"/>
        </w:numPr>
        <w:ind w:left="420" w:leftChars="0" w:firstLine="420" w:firstLineChars="0"/>
        <w:jc w:val="both"/>
        <w:rPr>
          <w:rFonts w:hint="default"/>
          <w:lang w:val="en-US" w:eastAsia="zh-CN"/>
        </w:rPr>
      </w:pPr>
      <w:r>
        <w:rPr>
          <w:rFonts w:hint="default"/>
          <w:lang w:val="en-US" w:eastAsia="zh-CN"/>
        </w:rPr>
        <w:t>依据基金的持仓状况进行评价，对其重仓品种的潜力给出说法，进而决定现在买入 是不是最好的时机</w:t>
      </w:r>
    </w:p>
    <w:p>
      <w:pPr>
        <w:widowControl w:val="0"/>
        <w:numPr>
          <w:ilvl w:val="0"/>
          <w:numId w:val="9"/>
        </w:numPr>
        <w:ind w:left="420" w:leftChars="0" w:firstLine="420" w:firstLineChars="0"/>
        <w:jc w:val="both"/>
        <w:rPr>
          <w:rFonts w:hint="default"/>
          <w:lang w:val="en-US" w:eastAsia="zh-CN"/>
        </w:rPr>
      </w:pPr>
      <w:r>
        <w:rPr>
          <w:rFonts w:hint="eastAsia"/>
          <w:lang w:val="en-US" w:eastAsia="zh-CN"/>
        </w:rPr>
        <w:t>多渠道收集信息，</w:t>
      </w:r>
      <w:r>
        <w:rPr>
          <w:rFonts w:hint="default"/>
          <w:lang w:val="en-US" w:eastAsia="zh-CN"/>
        </w:rPr>
        <w:t>从市场合力的角度去分析。</w:t>
      </w:r>
    </w:p>
    <w:p>
      <w:pPr>
        <w:widowControl w:val="0"/>
        <w:numPr>
          <w:ilvl w:val="0"/>
          <w:numId w:val="7"/>
        </w:numPr>
        <w:ind w:left="0" w:leftChars="0" w:firstLine="420" w:firstLineChars="0"/>
        <w:jc w:val="both"/>
        <w:rPr>
          <w:rFonts w:hint="default"/>
          <w:lang w:val="en-US" w:eastAsia="zh-CN"/>
        </w:rPr>
      </w:pPr>
      <w:r>
        <w:rPr>
          <w:rFonts w:hint="default"/>
          <w:lang w:val="en-US" w:eastAsia="zh-CN"/>
        </w:rPr>
        <w:t>购买基金巧打时间差</w:t>
      </w:r>
      <w:r>
        <w:rPr>
          <w:rFonts w:hint="eastAsia"/>
          <w:lang w:val="en-US" w:eastAsia="zh-CN"/>
        </w:rPr>
        <w:t>（着重套利）</w:t>
      </w:r>
    </w:p>
    <w:p>
      <w:pPr>
        <w:widowControl w:val="0"/>
        <w:numPr>
          <w:ilvl w:val="0"/>
          <w:numId w:val="0"/>
        </w:numPr>
        <w:ind w:left="420" w:left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基金转换和托管</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定投</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根据市场行情基金类型的转换</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风险控制</w:t>
      </w:r>
    </w:p>
    <w:p>
      <w:pPr>
        <w:keepNext w:val="0"/>
        <w:keepLines w:val="0"/>
        <w:pageBreakBefore w:val="0"/>
        <w:widowControl w:val="0"/>
        <w:numPr>
          <w:ilvl w:val="0"/>
          <w:numId w:val="10"/>
        </w:numPr>
        <w:kinsoku/>
        <w:wordWrap/>
        <w:overflowPunct/>
        <w:topLinePunct w:val="0"/>
        <w:autoSpaceDE/>
        <w:autoSpaceDN/>
        <w:bidi w:val="0"/>
        <w:adjustRightInd/>
        <w:snapToGrid/>
        <w:ind w:firstLine="420" w:firstLineChars="0"/>
        <w:jc w:val="both"/>
        <w:textAlignment w:val="auto"/>
        <w:outlineLvl w:val="1"/>
        <w:rPr>
          <w:rFonts w:hint="default"/>
          <w:lang w:val="en-US" w:eastAsia="zh-CN"/>
        </w:rPr>
      </w:pPr>
      <w:r>
        <w:rPr>
          <w:rFonts w:hint="eastAsia"/>
          <w:lang w:val="en-US" w:eastAsia="zh-CN"/>
        </w:rPr>
        <w:t>风险评估</w:t>
      </w:r>
    </w:p>
    <w:p>
      <w:pPr>
        <w:widowControl w:val="0"/>
        <w:numPr>
          <w:ilvl w:val="0"/>
          <w:numId w:val="0"/>
        </w:numPr>
        <w:ind w:firstLine="420" w:firstLineChars="0"/>
        <w:jc w:val="both"/>
        <w:rPr>
          <w:rFonts w:hint="default"/>
          <w:lang w:val="en-US" w:eastAsia="zh-CN"/>
        </w:rPr>
      </w:pPr>
      <w:r>
        <w:rPr>
          <w:rFonts w:hint="eastAsia"/>
          <w:lang w:val="en-US" w:eastAsia="zh-CN"/>
        </w:rPr>
        <w:t>大方向：</w:t>
      </w:r>
    </w:p>
    <w:p>
      <w:pPr>
        <w:widowControl w:val="0"/>
        <w:numPr>
          <w:ilvl w:val="0"/>
          <w:numId w:val="11"/>
        </w:numPr>
        <w:ind w:firstLine="420" w:firstLineChars="0"/>
        <w:jc w:val="both"/>
        <w:rPr>
          <w:rFonts w:hint="default"/>
          <w:lang w:val="en-US" w:eastAsia="zh-CN"/>
        </w:rPr>
      </w:pPr>
      <w:r>
        <w:rPr>
          <w:rFonts w:hint="eastAsia"/>
          <w:lang w:val="en-US" w:eastAsia="zh-CN"/>
        </w:rPr>
        <w:t>评级</w:t>
      </w:r>
    </w:p>
    <w:p>
      <w:pPr>
        <w:widowControl w:val="0"/>
        <w:numPr>
          <w:ilvl w:val="0"/>
          <w:numId w:val="11"/>
        </w:numPr>
        <w:ind w:firstLine="420" w:firstLineChars="0"/>
        <w:jc w:val="both"/>
        <w:rPr>
          <w:rFonts w:hint="default"/>
          <w:lang w:val="en-US" w:eastAsia="zh-CN"/>
        </w:rPr>
      </w:pPr>
      <w:r>
        <w:rPr>
          <w:rFonts w:hint="eastAsia"/>
          <w:lang w:val="en-US" w:eastAsia="zh-CN"/>
        </w:rPr>
        <w:t>周转率：一是导致交易成本过高，降低基金操作绩效。。二是短线进出，将提高投资风险，因为短线进出容易错 估买卖时点</w:t>
      </w:r>
    </w:p>
    <w:p>
      <w:pPr>
        <w:widowControl w:val="0"/>
        <w:numPr>
          <w:ilvl w:val="0"/>
          <w:numId w:val="11"/>
        </w:numPr>
        <w:ind w:firstLine="420" w:firstLineChars="0"/>
        <w:jc w:val="both"/>
        <w:rPr>
          <w:rFonts w:hint="default"/>
          <w:lang w:val="en-US" w:eastAsia="zh-CN"/>
        </w:rPr>
      </w:pPr>
      <w:r>
        <w:rPr>
          <w:rFonts w:hint="eastAsia"/>
          <w:lang w:val="en-US" w:eastAsia="zh-CN"/>
        </w:rPr>
        <w:t>持股比重</w:t>
      </w:r>
    </w:p>
    <w:p>
      <w:pPr>
        <w:widowControl w:val="0"/>
        <w:numPr>
          <w:ilvl w:val="0"/>
          <w:numId w:val="11"/>
        </w:numPr>
        <w:ind w:firstLine="420" w:firstLineChars="0"/>
        <w:jc w:val="both"/>
        <w:rPr>
          <w:rFonts w:hint="default"/>
          <w:lang w:val="en-US" w:eastAsia="zh-CN"/>
        </w:rPr>
      </w:pPr>
      <w:r>
        <w:rPr>
          <w:rFonts w:hint="eastAsia"/>
          <w:lang w:val="en-US" w:eastAsia="zh-CN"/>
        </w:rPr>
        <w:t>持股集中度</w:t>
      </w:r>
    </w:p>
    <w:p>
      <w:pPr>
        <w:widowControl w:val="0"/>
        <w:numPr>
          <w:ilvl w:val="0"/>
          <w:numId w:val="11"/>
        </w:numPr>
        <w:ind w:firstLine="420" w:firstLineChars="0"/>
        <w:jc w:val="both"/>
        <w:rPr>
          <w:rFonts w:hint="default"/>
          <w:lang w:val="en-US" w:eastAsia="zh-CN"/>
        </w:rPr>
      </w:pPr>
      <w:r>
        <w:rPr>
          <w:rFonts w:hint="eastAsia"/>
          <w:lang w:val="en-US" w:eastAsia="zh-CN"/>
        </w:rPr>
        <w:t>行业集中度</w:t>
      </w:r>
    </w:p>
    <w:p>
      <w:pPr>
        <w:widowControl w:val="0"/>
        <w:numPr>
          <w:ilvl w:val="0"/>
          <w:numId w:val="11"/>
        </w:numPr>
        <w:ind w:firstLine="420" w:firstLineChars="0"/>
        <w:jc w:val="both"/>
        <w:rPr>
          <w:rFonts w:hint="default"/>
          <w:lang w:val="en-US" w:eastAsia="zh-CN"/>
        </w:rPr>
      </w:pPr>
      <w:r>
        <w:rPr>
          <w:rFonts w:hint="eastAsia"/>
          <w:lang w:val="en-US" w:eastAsia="zh-CN"/>
        </w:rPr>
        <w:t>R平方</w:t>
      </w:r>
    </w:p>
    <w:p>
      <w:pPr>
        <w:widowControl w:val="0"/>
        <w:numPr>
          <w:ilvl w:val="0"/>
          <w:numId w:val="11"/>
        </w:numPr>
        <w:ind w:firstLine="420" w:firstLineChars="0"/>
        <w:jc w:val="both"/>
        <w:rPr>
          <w:rFonts w:hint="default"/>
          <w:lang w:val="en-US" w:eastAsia="zh-CN"/>
        </w:rPr>
      </w:pPr>
      <w:r>
        <w:rPr>
          <w:rFonts w:hint="eastAsia"/>
          <w:lang w:val="en-US" w:eastAsia="zh-CN"/>
        </w:rPr>
        <w:t>标准差</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指标</w:t>
      </w:r>
    </w:p>
    <w:p>
      <w:pPr>
        <w:widowControl w:val="0"/>
        <w:numPr>
          <w:ilvl w:val="0"/>
          <w:numId w:val="12"/>
        </w:numPr>
        <w:ind w:firstLine="420" w:firstLineChars="0"/>
        <w:jc w:val="both"/>
        <w:rPr>
          <w:rFonts w:hint="default"/>
          <w:lang w:val="en-US" w:eastAsia="zh-CN"/>
        </w:rPr>
      </w:pPr>
      <w:r>
        <w:rPr>
          <w:rFonts w:hint="eastAsia"/>
          <w:lang w:val="en-US" w:eastAsia="zh-CN"/>
        </w:rPr>
        <w:t>夏普比率</w:t>
      </w:r>
    </w:p>
    <w:p>
      <w:pPr>
        <w:widowControl w:val="0"/>
        <w:numPr>
          <w:ilvl w:val="0"/>
          <w:numId w:val="12"/>
        </w:numPr>
        <w:ind w:firstLine="420" w:firstLineChars="0"/>
        <w:jc w:val="both"/>
        <w:rPr>
          <w:rFonts w:hint="default"/>
          <w:lang w:val="en-US" w:eastAsia="zh-CN"/>
        </w:rPr>
      </w:pPr>
      <w:r>
        <w:rPr>
          <w:rFonts w:hint="eastAsia"/>
          <w:lang w:val="en-US" w:eastAsia="zh-CN"/>
        </w:rPr>
        <w:t>阿尔法系数</w:t>
      </w:r>
    </w:p>
    <w:p>
      <w:pPr>
        <w:widowControl w:val="0"/>
        <w:numPr>
          <w:ilvl w:val="0"/>
          <w:numId w:val="12"/>
        </w:numPr>
        <w:ind w:firstLine="420" w:firstLineChars="0"/>
        <w:jc w:val="both"/>
        <w:rPr>
          <w:rFonts w:hint="default"/>
          <w:lang w:val="en-US" w:eastAsia="zh-CN"/>
        </w:rPr>
      </w:pPr>
      <w:r>
        <w:rPr>
          <w:rFonts w:hint="eastAsia"/>
          <w:lang w:val="en-US" w:eastAsia="zh-CN"/>
        </w:rPr>
        <w:t>贝塔系数</w:t>
      </w:r>
    </w:p>
    <w:p>
      <w:pPr>
        <w:ind w:firstLine="420" w:firstLineChars="0"/>
      </w:pP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20" w:firstLineChars="0"/>
        <w:textAlignment w:val="auto"/>
        <w:outlineLvl w:val="1"/>
        <w:rPr>
          <w:rFonts w:hint="default" w:eastAsiaTheme="minorEastAsia"/>
          <w:lang w:val="en-US" w:eastAsia="zh-CN"/>
        </w:rPr>
      </w:pPr>
      <w:r>
        <w:rPr>
          <w:rFonts w:hint="default" w:eastAsiaTheme="minorEastAsia"/>
          <w:lang w:val="en-US" w:eastAsia="zh-CN"/>
        </w:rPr>
        <w:t>波动风险</w:t>
      </w:r>
      <w:r>
        <w:rPr>
          <w:rFonts w:hint="eastAsia"/>
          <w:lang w:val="en-US" w:eastAsia="zh-CN"/>
        </w:rPr>
        <w:t>控制</w:t>
      </w:r>
    </w:p>
    <w:p>
      <w:pPr>
        <w:numPr>
          <w:ilvl w:val="0"/>
          <w:numId w:val="13"/>
        </w:numPr>
        <w:ind w:left="420" w:leftChars="0"/>
        <w:rPr>
          <w:rFonts w:hint="default" w:eastAsiaTheme="minorEastAsia"/>
          <w:lang w:val="en-US" w:eastAsia="zh-CN"/>
        </w:rPr>
      </w:pPr>
      <w:r>
        <w:rPr>
          <w:rFonts w:hint="default" w:eastAsiaTheme="minorEastAsia"/>
          <w:lang w:val="en-US" w:eastAsia="zh-CN"/>
        </w:rPr>
        <w:t>用资产配置来分散风险</w:t>
      </w:r>
    </w:p>
    <w:p>
      <w:pPr>
        <w:numPr>
          <w:ilvl w:val="0"/>
          <w:numId w:val="0"/>
        </w:numPr>
        <w:ind w:firstLine="420" w:firstLineChars="0"/>
        <w:rPr>
          <w:rFonts w:hint="default" w:eastAsiaTheme="minorEastAsia"/>
          <w:lang w:val="en-US" w:eastAsia="zh-CN"/>
        </w:rPr>
      </w:pPr>
      <w:r>
        <w:rPr>
          <w:rFonts w:hint="default" w:eastAsiaTheme="minorEastAsia"/>
          <w:b/>
          <w:bCs/>
          <w:color w:val="FF0000"/>
          <w:lang w:val="en-US" w:eastAsia="zh-CN"/>
        </w:rPr>
        <w:t>固收理财</w:t>
      </w:r>
    </w:p>
    <w:p>
      <w:pPr>
        <w:numPr>
          <w:ilvl w:val="0"/>
          <w:numId w:val="14"/>
        </w:numPr>
        <w:ind w:left="840" w:leftChars="0"/>
        <w:rPr>
          <w:rFonts w:hint="default" w:eastAsiaTheme="minorEastAsia"/>
          <w:lang w:val="en-US" w:eastAsia="zh-CN"/>
        </w:rPr>
      </w:pPr>
      <w:r>
        <w:rPr>
          <w:rFonts w:hint="default" w:eastAsiaTheme="minorEastAsia"/>
          <w:lang w:val="en-US" w:eastAsia="zh-CN"/>
        </w:rPr>
        <w:t>理财平台</w:t>
      </w:r>
      <w:r>
        <w:rPr>
          <w:rFonts w:hint="eastAsia"/>
          <w:lang w:val="en-US" w:eastAsia="zh-CN"/>
        </w:rPr>
        <w:t>，</w:t>
      </w:r>
      <w:r>
        <w:rPr>
          <w:rFonts w:ascii="Microsoft YaHei UI" w:hAnsi="Microsoft YaHei UI" w:eastAsia="Microsoft YaHei UI" w:cs="Microsoft YaHei UI"/>
          <w:b w:val="0"/>
          <w:i w:val="0"/>
          <w:caps w:val="0"/>
          <w:color w:val="333333"/>
          <w:spacing w:val="5"/>
          <w:sz w:val="18"/>
          <w:szCs w:val="18"/>
          <w:shd w:val="clear" w:fill="FFFFFF"/>
        </w:rPr>
        <w:t>年化收益普遍在3%</w:t>
      </w:r>
    </w:p>
    <w:p>
      <w:pPr>
        <w:numPr>
          <w:ilvl w:val="0"/>
          <w:numId w:val="14"/>
        </w:numPr>
        <w:ind w:left="840" w:leftChars="0"/>
        <w:rPr>
          <w:rFonts w:hint="default" w:eastAsiaTheme="minorEastAsia"/>
          <w:lang w:val="en-US" w:eastAsia="zh-CN"/>
        </w:rPr>
      </w:pPr>
      <w:r>
        <w:rPr>
          <w:rFonts w:hint="default" w:eastAsiaTheme="minorEastAsia"/>
          <w:lang w:val="en-US" w:eastAsia="zh-CN"/>
        </w:rPr>
        <w:t>隔夜理财</w:t>
      </w:r>
      <w:r>
        <w:rPr>
          <w:rFonts w:hint="eastAsia"/>
          <w:lang w:val="en-US" w:eastAsia="zh-CN"/>
        </w:rPr>
        <w:t>，就是把你趴在券商账户上的现金，在晚上非交易时间能产生收益，第二天早上开盘前连本带息回到你的账户上，不影响你买股票或基金</w:t>
      </w:r>
    </w:p>
    <w:p>
      <w:pPr>
        <w:numPr>
          <w:ilvl w:val="0"/>
          <w:numId w:val="14"/>
        </w:numPr>
        <w:ind w:left="840" w:leftChars="0"/>
        <w:rPr>
          <w:rFonts w:hint="default" w:eastAsiaTheme="minorEastAsia"/>
          <w:lang w:val="en-US" w:eastAsia="zh-CN"/>
        </w:rPr>
      </w:pPr>
      <w:r>
        <w:rPr>
          <w:rFonts w:hint="default" w:eastAsiaTheme="minorEastAsia"/>
          <w:lang w:val="en-US" w:eastAsia="zh-CN"/>
        </w:rPr>
        <w:t>国债逆回购</w:t>
      </w:r>
    </w:p>
    <w:p>
      <w:pPr>
        <w:numPr>
          <w:numId w:val="0"/>
        </w:numPr>
        <w:ind w:left="840" w:leftChars="0"/>
        <w:rPr>
          <w:rFonts w:hint="default" w:eastAsiaTheme="minorEastAsia"/>
          <w:lang w:val="en-US" w:eastAsia="zh-CN"/>
        </w:rPr>
      </w:pPr>
    </w:p>
    <w:p>
      <w:pPr>
        <w:numPr>
          <w:numId w:val="0"/>
        </w:numPr>
        <w:ind w:firstLine="420" w:firstLineChars="0"/>
        <w:rPr>
          <w:rFonts w:hint="default" w:eastAsiaTheme="minorEastAsia"/>
          <w:b/>
          <w:bCs/>
          <w:color w:val="FF0000"/>
          <w:lang w:val="en-US" w:eastAsia="zh-CN"/>
        </w:rPr>
      </w:pPr>
      <w:r>
        <w:rPr>
          <w:rFonts w:hint="default" w:eastAsiaTheme="minorEastAsia"/>
          <w:b/>
          <w:bCs/>
          <w:color w:val="FF0000"/>
          <w:lang w:val="en-US" w:eastAsia="zh-CN"/>
        </w:rPr>
        <w:t>用交易工具来对冲风险</w:t>
      </w:r>
    </w:p>
    <w:p>
      <w:pPr>
        <w:numPr>
          <w:ilvl w:val="0"/>
          <w:numId w:val="15"/>
        </w:numPr>
        <w:ind w:left="420" w:leftChars="0" w:firstLine="420" w:firstLineChars="0"/>
        <w:rPr>
          <w:rFonts w:hint="default" w:eastAsiaTheme="minorEastAsia"/>
          <w:lang w:val="en-US" w:eastAsia="zh-CN"/>
        </w:rPr>
      </w:pPr>
      <w:r>
        <w:rPr>
          <w:rFonts w:hint="default" w:eastAsiaTheme="minorEastAsia"/>
          <w:lang w:val="en-US" w:eastAsia="zh-CN"/>
        </w:rPr>
        <w:t>黄金类基金</w:t>
      </w:r>
      <w:r>
        <w:rPr>
          <w:rFonts w:hint="eastAsia"/>
          <w:lang w:val="en-US" w:eastAsia="zh-CN"/>
        </w:rPr>
        <w:t>，黄金是传统的避险资产，这个认知已经深入人心，所以一旦市场出现比较大的风险时，大家就会涌入黄金市场。买了一点黄金ETF做对冲</w:t>
      </w:r>
    </w:p>
    <w:p>
      <w:pPr>
        <w:numPr>
          <w:numId w:val="0"/>
        </w:numPr>
        <w:ind w:left="420" w:leftChars="0"/>
        <w:rPr>
          <w:rFonts w:hint="default" w:eastAsiaTheme="minorEastAsia"/>
          <w:lang w:val="en-US" w:eastAsia="zh-CN"/>
        </w:rPr>
      </w:pPr>
    </w:p>
    <w:p>
      <w:pPr>
        <w:ind w:firstLine="420" w:firstLineChars="0"/>
        <w:rPr>
          <w:rFonts w:hint="eastAsia"/>
          <w:lang w:val="en-US" w:eastAsia="zh-CN"/>
        </w:rPr>
      </w:pPr>
      <w:r>
        <w:rPr>
          <w:rFonts w:hint="eastAsia"/>
          <w:b/>
          <w:bCs/>
          <w:color w:val="FF0000"/>
        </w:rPr>
        <w:t>基金定投</w:t>
      </w:r>
      <w:r>
        <w:br w:type="textWrapping"/>
      </w:r>
      <w:r>
        <w:rPr>
          <w:rFonts w:hint="eastAsia"/>
          <w:lang w:val="en-US" w:eastAsia="zh-CN"/>
        </w:rPr>
        <w:tab/>
        <w:t/>
      </w:r>
      <w:r>
        <w:rPr>
          <w:rFonts w:hint="eastAsia"/>
          <w:lang w:val="en-US" w:eastAsia="zh-CN"/>
        </w:rPr>
        <w:tab/>
      </w:r>
    </w:p>
    <w:p>
      <w:pPr>
        <w:ind w:firstLine="420" w:firstLineChars="0"/>
        <w:rPr>
          <w:rFonts w:hint="eastAsia"/>
          <w:lang w:val="en-US" w:eastAsia="zh-CN"/>
        </w:rPr>
      </w:pPr>
      <w:r>
        <w:rPr>
          <w:rFonts w:hint="eastAsia"/>
          <w:lang w:val="en-US" w:eastAsia="zh-CN"/>
        </w:rPr>
        <w:t>震荡行情最适合的投资方式就是定投，分散投资，避免买在高点。</w:t>
      </w:r>
    </w:p>
    <w:p>
      <w:pPr>
        <w:ind w:firstLine="420" w:firstLineChars="0"/>
        <w:rPr>
          <w:rFonts w:hint="eastAsia"/>
          <w:lang w:val="en-US" w:eastAsia="zh-CN"/>
        </w:rPr>
      </w:pPr>
      <w:r>
        <w:rPr>
          <w:rFonts w:hint="eastAsia"/>
          <w:lang w:val="en-US" w:eastAsia="zh-CN"/>
        </w:rPr>
        <w:t>定投主要可以做宽基指数基金，比如上证50和创业板指数基金可以分别定投一个。混合型基金当然也可以做，但如果放在两三年的长周期来看，宽基是更稳妥的选择。</w:t>
      </w:r>
    </w:p>
    <w:p>
      <w:pPr>
        <w:ind w:firstLine="420" w:firstLineChars="0"/>
        <w:rPr>
          <w:rFonts w:hint="eastAsia"/>
          <w:b/>
          <w:bCs/>
          <w:color w:val="FF0000"/>
          <w:lang w:val="en-US" w:eastAsia="zh-CN"/>
        </w:rPr>
      </w:pPr>
      <w:r>
        <w:rPr>
          <w:rFonts w:hint="eastAsia"/>
          <w:b/>
          <w:bCs/>
          <w:color w:val="FF0000"/>
          <w:lang w:val="en-US" w:eastAsia="zh-CN"/>
        </w:rPr>
        <w:t>私募基金</w:t>
      </w:r>
    </w:p>
    <w:p>
      <w:pPr>
        <w:ind w:firstLine="420" w:firstLineChars="0"/>
        <w:rPr>
          <w:rFonts w:hint="eastAsia"/>
          <w:lang w:val="en-US" w:eastAsia="zh-CN"/>
        </w:rPr>
      </w:pPr>
      <w:r>
        <w:rPr>
          <w:rFonts w:hint="eastAsia"/>
          <w:lang w:val="en-US" w:eastAsia="zh-CN"/>
        </w:rPr>
        <w:t>如果你有100万的闲置资金，而且一年内都不会用到，其实可以考虑私募基金。因为私募通常有一年以上的封闭期，是一种长期投资，面临市场短期波动的压力更小。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而公募基金通常只有2到3个月左右的封闭期，封闭期结束后，投资者就可以随时赎回，所以基金公司为了应对投资者的赎回，需要专门在账上留出一笔现金，不能去做投资，这导致公募基金的资金使用效率变低。</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有时候，账户上专门留出的资金还不够用，尤其是当市场暴跌的时候，会发生踩踏性赎回，这就逼迫基金管理人不得不强行卖出股票，变成现金还给投资者。在这种情况下，基金管理人也很难用一个长期投资的逻辑去操作仓位，波动性自然也很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然，有些公募基金也有一年甚至两三年封闭期的，但跟私募的差别在于，公募基金的股票仓位有最低限制，行情再差也不能低于65%。而私募没有这个限制，所以会相对灵活，能在行情糟糕的时候大幅降低股票仓位规避暴跌。</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私募基金还有可以利用期权期货衍生工具来反向对冲仓位风险。</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在基金经理方面，国内头部的私募基金经理，通常是在公募圈历练多年战绩赫赫的老将“公转私”而来，水平也会更高一些。</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后台也有人问我，到底要怎么选私募。从我的经验来看，绝对要把回撤指标放在第一位。如果能在市场极其糟糕的时候依然保持极小的亏损甚至能够保持盈利，基本上就是一只值得上车的好私募。</w:t>
      </w:r>
    </w:p>
    <w:p>
      <w:pPr>
        <w:ind w:firstLine="420" w:firstLineChars="0"/>
        <w:rPr>
          <w:rFonts w:hint="eastAsia"/>
          <w:lang w:val="en-US" w:eastAsia="zh-CN"/>
        </w:rPr>
      </w:pPr>
      <w:r>
        <w:rPr>
          <w:rFonts w:hint="eastAsia"/>
          <w:b/>
          <w:bCs/>
          <w:color w:val="FF0000"/>
          <w:lang w:val="en-US" w:eastAsia="zh-CN"/>
        </w:rPr>
        <w:t>融券</w:t>
      </w:r>
    </w:p>
    <w:p>
      <w:pPr>
        <w:ind w:firstLine="420" w:firstLineChars="0"/>
        <w:rPr>
          <w:rFonts w:hint="eastAsia"/>
          <w:lang w:val="en-US" w:eastAsia="zh-CN"/>
        </w:rPr>
      </w:pPr>
      <w:r>
        <w:rPr>
          <w:rFonts w:hint="eastAsia"/>
          <w:lang w:val="en-US" w:eastAsia="zh-CN"/>
        </w:rPr>
        <w:t>所谓的融券，就是当你判断某些股票或ETF处于高位，未来很有可能会下跌时，可以找你所开户的券商借来这些股票或ETF，然后卖出，等未来真的下跌了，再用低价买来这些股票或ETF，还给券商。高卖低买，你赚到了其中的差价。这就是做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你仓位中某些股票或ETF比较多时，你担心后面市场下跌导致巨大亏损，就可以用融券的方式来对冲风险：自己原本的仓位不动，而去找券商借来这些证券，高价卖出，如果后来真的下跌了，那就低价买回来，赚取的这部分价差，就能弥补自己原本仓位的亏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好的，以上就是我关于市场存在下跌风险时应该怎么办的几个建议。风险永远存在，这并不可怕，正视风险、合理配置、做好防护就可以了。</w:t>
      </w:r>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jc w:val="both"/>
        <w:textAlignment w:val="auto"/>
        <w:outlineLvl w:val="0"/>
        <w:rPr>
          <w:rFonts w:hint="default"/>
          <w:lang w:val="en-US" w:eastAsia="zh-CN"/>
        </w:rPr>
      </w:pPr>
      <w:r>
        <w:rPr>
          <w:rFonts w:hint="eastAsia"/>
          <w:lang w:val="en-US" w:eastAsia="zh-CN"/>
        </w:rPr>
        <w:t>宏观把控、观察主力</w:t>
      </w:r>
    </w:p>
    <w:p>
      <w:pPr>
        <w:widowControl w:val="0"/>
        <w:numPr>
          <w:ilvl w:val="0"/>
          <w:numId w:val="16"/>
        </w:numPr>
        <w:ind w:leftChars="0" w:firstLine="420" w:firstLineChars="0"/>
        <w:jc w:val="both"/>
        <w:rPr>
          <w:rFonts w:hint="eastAsia"/>
          <w:lang w:val="en-US" w:eastAsia="zh-CN"/>
        </w:rPr>
      </w:pPr>
      <w:r>
        <w:rPr>
          <w:rFonts w:hint="eastAsia"/>
          <w:lang w:val="en-US" w:eastAsia="zh-CN"/>
        </w:rPr>
        <w:t>其他盘口影响</w:t>
      </w:r>
    </w:p>
    <w:p>
      <w:pPr>
        <w:widowControl w:val="0"/>
        <w:numPr>
          <w:ilvl w:val="0"/>
          <w:numId w:val="16"/>
        </w:numPr>
        <w:ind w:leftChars="0" w:firstLine="420" w:firstLineChars="0"/>
        <w:jc w:val="both"/>
        <w:rPr>
          <w:rFonts w:hint="default"/>
          <w:lang w:val="en-US" w:eastAsia="zh-CN"/>
        </w:rPr>
      </w:pPr>
      <w:r>
        <w:rPr>
          <w:rFonts w:hint="eastAsia"/>
          <w:lang w:val="en-US" w:eastAsia="zh-CN"/>
        </w:rPr>
        <w:t>国内政策</w:t>
      </w:r>
    </w:p>
    <w:p>
      <w:pPr>
        <w:widowControl w:val="0"/>
        <w:numPr>
          <w:ilvl w:val="0"/>
          <w:numId w:val="16"/>
        </w:numPr>
        <w:ind w:leftChars="0" w:firstLine="420" w:firstLineChars="0"/>
        <w:jc w:val="both"/>
        <w:rPr>
          <w:rFonts w:hint="default"/>
          <w:lang w:val="en-US" w:eastAsia="zh-CN"/>
        </w:rPr>
      </w:pPr>
      <w:r>
        <w:rPr>
          <w:rFonts w:hint="eastAsia"/>
          <w:lang w:val="en-US" w:eastAsia="zh-CN"/>
        </w:rPr>
        <w:t>宏观数据指标：货币、行业、资金</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02" w:firstLineChars="0"/>
        <w:textAlignment w:val="auto"/>
        <w:outlineLvl w:val="0"/>
        <w:rPr>
          <w:rFonts w:hint="default"/>
          <w:lang w:val="en-US" w:eastAsia="zh-CN"/>
        </w:rPr>
      </w:pPr>
      <w:r>
        <w:rPr>
          <w:rFonts w:hint="eastAsia"/>
          <w:lang w:val="en-US" w:eastAsia="zh-CN"/>
        </w:rPr>
        <w:t>其他盈利方式</w:t>
      </w:r>
    </w:p>
    <w:p>
      <w:pPr>
        <w:widowControl w:val="0"/>
        <w:numPr>
          <w:ilvl w:val="0"/>
          <w:numId w:val="17"/>
        </w:numPr>
        <w:ind w:firstLine="420" w:firstLineChars="0"/>
        <w:jc w:val="both"/>
        <w:rPr>
          <w:rFonts w:hint="default"/>
          <w:lang w:val="en-US" w:eastAsia="zh-CN"/>
        </w:rPr>
      </w:pPr>
      <w:r>
        <w:rPr>
          <w:rFonts w:hint="eastAsia"/>
          <w:lang w:val="en-US" w:eastAsia="zh-CN"/>
        </w:rPr>
        <w:t>可转债</w:t>
      </w:r>
    </w:p>
    <w:p>
      <w:pPr>
        <w:widowControl w:val="0"/>
        <w:numPr>
          <w:ilvl w:val="0"/>
          <w:numId w:val="17"/>
        </w:numPr>
        <w:ind w:firstLine="420" w:firstLineChars="0"/>
        <w:jc w:val="both"/>
        <w:rPr>
          <w:rFonts w:hint="default"/>
          <w:lang w:val="en-US" w:eastAsia="zh-CN"/>
        </w:rPr>
      </w:pPr>
      <w:r>
        <w:rPr>
          <w:rFonts w:hint="eastAsia"/>
          <w:lang w:val="en-US" w:eastAsia="zh-CN"/>
        </w:rPr>
        <w:t>打明星经理基金</w:t>
      </w:r>
    </w:p>
    <w:p>
      <w:pPr>
        <w:widowControl w:val="0"/>
        <w:numPr>
          <w:ilvl w:val="0"/>
          <w:numId w:val="17"/>
        </w:numPr>
        <w:ind w:firstLine="420" w:firstLineChars="0"/>
        <w:jc w:val="both"/>
        <w:rPr>
          <w:rFonts w:hint="default"/>
          <w:lang w:val="en-US" w:eastAsia="zh-CN"/>
        </w:rPr>
      </w:pPr>
      <w:r>
        <w:rPr>
          <w:rFonts w:hint="eastAsia"/>
          <w:lang w:val="en-US" w:eastAsia="zh-CN"/>
        </w:rPr>
        <w:t>打明星基金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E07CF"/>
    <w:multiLevelType w:val="multilevel"/>
    <w:tmpl w:val="999E07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0161D68"/>
    <w:multiLevelType w:val="singleLevel"/>
    <w:tmpl w:val="A0161D68"/>
    <w:lvl w:ilvl="0" w:tentative="0">
      <w:start w:val="1"/>
      <w:numFmt w:val="upperLetter"/>
      <w:suff w:val="space"/>
      <w:lvlText w:val="%1)"/>
      <w:lvlJc w:val="left"/>
    </w:lvl>
  </w:abstractNum>
  <w:abstractNum w:abstractNumId="2">
    <w:nsid w:val="A70E8A54"/>
    <w:multiLevelType w:val="multilevel"/>
    <w:tmpl w:val="A70E8A5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514946D"/>
    <w:multiLevelType w:val="singleLevel"/>
    <w:tmpl w:val="B514946D"/>
    <w:lvl w:ilvl="0" w:tentative="0">
      <w:start w:val="1"/>
      <w:numFmt w:val="decimal"/>
      <w:suff w:val="space"/>
      <w:lvlText w:val="%1."/>
      <w:lvlJc w:val="left"/>
    </w:lvl>
  </w:abstractNum>
  <w:abstractNum w:abstractNumId="4">
    <w:nsid w:val="BD9BE72E"/>
    <w:multiLevelType w:val="singleLevel"/>
    <w:tmpl w:val="BD9BE72E"/>
    <w:lvl w:ilvl="0" w:tentative="0">
      <w:start w:val="1"/>
      <w:numFmt w:val="decimal"/>
      <w:suff w:val="nothing"/>
      <w:lvlText w:val="%1、"/>
      <w:lvlJc w:val="left"/>
    </w:lvl>
  </w:abstractNum>
  <w:abstractNum w:abstractNumId="5">
    <w:nsid w:val="D2391640"/>
    <w:multiLevelType w:val="singleLevel"/>
    <w:tmpl w:val="D2391640"/>
    <w:lvl w:ilvl="0" w:tentative="0">
      <w:start w:val="1"/>
      <w:numFmt w:val="decimal"/>
      <w:lvlText w:val="%1."/>
      <w:lvlJc w:val="left"/>
      <w:pPr>
        <w:tabs>
          <w:tab w:val="left" w:pos="312"/>
        </w:tabs>
      </w:pPr>
    </w:lvl>
  </w:abstractNum>
  <w:abstractNum w:abstractNumId="6">
    <w:nsid w:val="D830BB9F"/>
    <w:multiLevelType w:val="singleLevel"/>
    <w:tmpl w:val="D830BB9F"/>
    <w:lvl w:ilvl="0" w:tentative="0">
      <w:start w:val="1"/>
      <w:numFmt w:val="decimal"/>
      <w:suff w:val="space"/>
      <w:lvlText w:val="%1."/>
      <w:lvlJc w:val="left"/>
    </w:lvl>
  </w:abstractNum>
  <w:abstractNum w:abstractNumId="7">
    <w:nsid w:val="DABF02BF"/>
    <w:multiLevelType w:val="singleLevel"/>
    <w:tmpl w:val="DABF02BF"/>
    <w:lvl w:ilvl="0" w:tentative="0">
      <w:start w:val="1"/>
      <w:numFmt w:val="decimalEnclosedCircleChinese"/>
      <w:suff w:val="space"/>
      <w:lvlText w:val="%1"/>
      <w:lvlJc w:val="left"/>
      <w:pPr>
        <w:ind w:left="840" w:leftChars="0" w:firstLine="0" w:firstLineChars="0"/>
      </w:pPr>
      <w:rPr>
        <w:rFonts w:hint="eastAsia"/>
      </w:rPr>
    </w:lvl>
  </w:abstractNum>
  <w:abstractNum w:abstractNumId="8">
    <w:nsid w:val="E2CCFB62"/>
    <w:multiLevelType w:val="multilevel"/>
    <w:tmpl w:val="E2CCFB62"/>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9">
    <w:nsid w:val="FBF784FC"/>
    <w:multiLevelType w:val="singleLevel"/>
    <w:tmpl w:val="FBF784FC"/>
    <w:lvl w:ilvl="0" w:tentative="0">
      <w:start w:val="1"/>
      <w:numFmt w:val="decimal"/>
      <w:lvlText w:val="%1."/>
      <w:lvlJc w:val="left"/>
      <w:pPr>
        <w:tabs>
          <w:tab w:val="left" w:pos="312"/>
        </w:tabs>
      </w:pPr>
    </w:lvl>
  </w:abstractNum>
  <w:abstractNum w:abstractNumId="10">
    <w:nsid w:val="0BF854AE"/>
    <w:multiLevelType w:val="singleLevel"/>
    <w:tmpl w:val="0BF854AE"/>
    <w:lvl w:ilvl="0" w:tentative="0">
      <w:start w:val="1"/>
      <w:numFmt w:val="decimal"/>
      <w:suff w:val="space"/>
      <w:lvlText w:val="%1."/>
      <w:lvlJc w:val="left"/>
    </w:lvl>
  </w:abstractNum>
  <w:abstractNum w:abstractNumId="11">
    <w:nsid w:val="248B09A0"/>
    <w:multiLevelType w:val="singleLevel"/>
    <w:tmpl w:val="248B09A0"/>
    <w:lvl w:ilvl="0" w:tentative="0">
      <w:start w:val="1"/>
      <w:numFmt w:val="lowerLetter"/>
      <w:suff w:val="space"/>
      <w:lvlText w:val="%1."/>
      <w:lvlJc w:val="left"/>
    </w:lvl>
  </w:abstractNum>
  <w:abstractNum w:abstractNumId="12">
    <w:nsid w:val="4B7F8A22"/>
    <w:multiLevelType w:val="singleLevel"/>
    <w:tmpl w:val="4B7F8A22"/>
    <w:lvl w:ilvl="0" w:tentative="0">
      <w:start w:val="1"/>
      <w:numFmt w:val="upperLetter"/>
      <w:suff w:val="space"/>
      <w:lvlText w:val="%1)"/>
      <w:lvlJc w:val="left"/>
    </w:lvl>
  </w:abstractNum>
  <w:abstractNum w:abstractNumId="13">
    <w:nsid w:val="57DCCA2D"/>
    <w:multiLevelType w:val="singleLevel"/>
    <w:tmpl w:val="57DCCA2D"/>
    <w:lvl w:ilvl="0" w:tentative="0">
      <w:start w:val="1"/>
      <w:numFmt w:val="chineseCounting"/>
      <w:suff w:val="space"/>
      <w:lvlText w:val="%1、"/>
      <w:lvlJc w:val="left"/>
      <w:rPr>
        <w:rFonts w:hint="eastAsia"/>
      </w:rPr>
    </w:lvl>
  </w:abstractNum>
  <w:abstractNum w:abstractNumId="14">
    <w:nsid w:val="6F96BB4D"/>
    <w:multiLevelType w:val="singleLevel"/>
    <w:tmpl w:val="6F96BB4D"/>
    <w:lvl w:ilvl="0" w:tentative="0">
      <w:start w:val="1"/>
      <w:numFmt w:val="decimal"/>
      <w:suff w:val="space"/>
      <w:lvlText w:val="%1."/>
      <w:lvlJc w:val="left"/>
    </w:lvl>
  </w:abstractNum>
  <w:abstractNum w:abstractNumId="15">
    <w:nsid w:val="714B9F8A"/>
    <w:multiLevelType w:val="singleLevel"/>
    <w:tmpl w:val="714B9F8A"/>
    <w:lvl w:ilvl="0" w:tentative="0">
      <w:start w:val="1"/>
      <w:numFmt w:val="lowerLetter"/>
      <w:suff w:val="space"/>
      <w:lvlText w:val="%1."/>
      <w:lvlJc w:val="left"/>
    </w:lvl>
  </w:abstractNum>
  <w:abstractNum w:abstractNumId="16">
    <w:nsid w:val="7A4E944E"/>
    <w:multiLevelType w:val="singleLevel"/>
    <w:tmpl w:val="7A4E944E"/>
    <w:lvl w:ilvl="0" w:tentative="0">
      <w:start w:val="1"/>
      <w:numFmt w:val="chineseCounting"/>
      <w:suff w:val="nothing"/>
      <w:lvlText w:val="（%1）"/>
      <w:lvlJc w:val="left"/>
      <w:rPr>
        <w:rFonts w:hint="eastAsia"/>
      </w:rPr>
    </w:lvl>
  </w:abstractNum>
  <w:num w:numId="1">
    <w:abstractNumId w:val="8"/>
  </w:num>
  <w:num w:numId="2">
    <w:abstractNumId w:val="0"/>
  </w:num>
  <w:num w:numId="3">
    <w:abstractNumId w:val="10"/>
  </w:num>
  <w:num w:numId="4">
    <w:abstractNumId w:val="16"/>
  </w:num>
  <w:num w:numId="5">
    <w:abstractNumId w:val="5"/>
  </w:num>
  <w:num w:numId="6">
    <w:abstractNumId w:val="7"/>
  </w:num>
  <w:num w:numId="7">
    <w:abstractNumId w:val="2"/>
  </w:num>
  <w:num w:numId="8">
    <w:abstractNumId w:val="1"/>
  </w:num>
  <w:num w:numId="9">
    <w:abstractNumId w:val="12"/>
  </w:num>
  <w:num w:numId="10">
    <w:abstractNumId w:val="13"/>
  </w:num>
  <w:num w:numId="11">
    <w:abstractNumId w:val="6"/>
  </w:num>
  <w:num w:numId="12">
    <w:abstractNumId w:val="14"/>
  </w:num>
  <w:num w:numId="13">
    <w:abstractNumId w:val="4"/>
  </w:num>
  <w:num w:numId="14">
    <w:abstractNumId w:val="15"/>
  </w:num>
  <w:num w:numId="15">
    <w:abstractNumId w:val="11"/>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E4CA1"/>
    <w:rsid w:val="0B172035"/>
    <w:rsid w:val="0C6B2B06"/>
    <w:rsid w:val="1259187C"/>
    <w:rsid w:val="2DDF46ED"/>
    <w:rsid w:val="319C2ABE"/>
    <w:rsid w:val="32367814"/>
    <w:rsid w:val="34294FB0"/>
    <w:rsid w:val="359565E1"/>
    <w:rsid w:val="3D5870FF"/>
    <w:rsid w:val="43203FFD"/>
    <w:rsid w:val="4B776D82"/>
    <w:rsid w:val="509A40D1"/>
    <w:rsid w:val="60AC7833"/>
    <w:rsid w:val="6BC34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2020-07-18T15:32:00Z</dcterms:created>
  <dc:creator>Wei</dc:creator>
  <cp:lastModifiedBy>wuguangwei</cp:lastModifiedBy>
  <dcterms:modified xsi:type="dcterms:W3CDTF">2020-07-29T12:10:25Z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