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80" w:before="400"/>
        <w:jc w:val="center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3A5F"/>
          <w:sz w:val="52"/>
          <w:szCs w:val="52"/>
        </w:rPr>
        <w:t xml:space="preserve">AWU System</w:t>
      </w:r>
    </w:p>
    <w:p>
      <w:pPr>
        <w:spacing w:after="200" w:before="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1A3D2B"/>
          <w:sz w:val="28"/>
          <w:szCs w:val="28"/>
        </w:rPr>
        <w:t xml:space="preserve">Ask-When-Unknown: A Self-Evolving Personal Language Model System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64748B"/>
          <w:sz w:val="22"/>
          <w:szCs w:val="22"/>
        </w:rPr>
        <w:t xml:space="preserve">Prompt &amp; Architecture Reference Document</w:t>
      </w:r>
    </w:p>
    <w:p>
      <w:pPr>
        <w:spacing w:after="400" w:before="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64748B"/>
          <w:sz w:val="20"/>
          <w:szCs w:val="20"/>
        </w:rPr>
        <w:t xml:space="preserve">For: Academic Paper Writing · System Implementation · Code Development</w:t>
      </w:r>
    </w:p>
    <w:p>
      <w:pPr>
        <w:pBdr>
          <w:bottom w:val="single" w:color="CBD5E1" w:sz="2" w:space="1"/>
        </w:pBdr>
        <w:spacing w:after="80" w:before="80"/>
      </w:pPr>
    </w:p>
    <w:p>
      <w:pPr>
        <w:spacing w:after="200" w:before="200"/>
      </w:pPr>
    </w:p>
    <w:p>
      <w:pPr>
        <w:spacing w:after="120" w:before="160"/>
      </w:pPr>
      <w:r>
        <w:rPr>
          <w:rFonts w:ascii="Palatino Linotype" w:cs="Palatino Linotype" w:eastAsia="Palatino Linotype" w:hAnsi="Palatino Linotype"/>
          <w:b/>
          <w:bCs/>
          <w:i w:val="false"/>
          <w:iCs w:val="false"/>
          <w:color w:val="1E3A5F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E3A5F" w:sz="4" w:space="4"/>
        </w:pBdr>
        <w:spacing w:after="160" w:before="320"/>
      </w:pPr>
      <w:r>
        <w:rPr>
          <w:rFonts w:ascii="Palatino Linotype" w:cs="Palatino Linotype" w:eastAsia="Palatino Linotype" w:hAnsi="Palatino Linotype"/>
          <w:b/>
          <w:bCs/>
          <w:color w:val="1E3A5F"/>
          <w:sz w:val="32"/>
          <w:szCs w:val="32"/>
        </w:rPr>
        <w:t xml:space="preserve">1. System Overview</w:t>
      </w:r>
    </w:p>
    <w:p>
      <w:pPr>
        <w:spacing w:after="100" w:before="60"/>
        <w:jc w:val="left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AWU (Ask-When-Unknown) is a self-evolving lightweight language model system designed for single-user, private deployment. It pairs a small base language model (1B–10B parameters) with four collaborating agents that collectively enable continuous knowledge acquisition, user-authoritative feedback integration, and iterative fine-tuning — all without interrupting live service.</w:t>
      </w:r>
    </w:p>
    <w:p>
      <w:pPr>
        <w:spacing w:after="100" w:before="60"/>
        <w:jc w:val="left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central design principle is that the system should improve through ordinary use: every conversation in which the model lacks confidence, and every correction provided by the user, becomes a training signal for the next model version.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A3D2B"/>
                <w:sz w:val="22"/>
                <w:szCs w:val="22"/>
              </w:rPr>
              <w:t xml:space="preserve">Core Thesis:  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A small model + persistent knowledge store + continuous fine-tuning loop ≈ a personalized AI that grows smarter with every interaction.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1.1 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User is the absolute authority. User corrections and teachings require no validation and carry the highest training weight.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Confidence-gated external consultation. The system queries an external Oracle only when the Observer Agent determines that the model's confidence falls below a defined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Continuous, non-disruptive evolution. Fine-tuning runs asynchronously; the live model is replaced only after validation passes.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Anti-catastrophic-forgetting. LoRA-based fine-tuning preserves the base model weights; a carefully stratified data mix retains historical capabilities.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Flywheel effect. Increased usage → richer knowledge base → fewer Oracle calls → lower cost → smarter model.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1.2  System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System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AWU — Ask-When-Unknown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Abbreviation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AWU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Target deployment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Single-user, private, on-device or private server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Base model size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1B – 10B parameters (e.g., Qwen2.5-3B, Phi-3.5-mini)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Fine-tuning method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LoRA (Low-Rank Adaptation); base weights frozen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Knowledge storage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Vector DB (Qdrant / ChromaDB) + Structured SQL (SQLite)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1E293B"/>
                <w:sz w:val="21"/>
                <w:szCs w:val="21"/>
              </w:rPr>
              <w:t xml:space="preserve">Versioning scheme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AWU v1.0 → AWU v1.1 → AWU v1.2 → ···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 w:space="4"/>
        </w:pBdr>
        <w:spacing w:after="160" w:before="320"/>
      </w:pPr>
      <w:r>
        <w:rPr>
          <w:rFonts w:ascii="Palatino Linotype" w:cs="Palatino Linotype" w:eastAsia="Palatino Linotype" w:hAnsi="Palatino Linotype"/>
          <w:b/>
          <w:bCs/>
          <w:color w:val="1E3A5F"/>
          <w:sz w:val="32"/>
          <w:szCs w:val="32"/>
        </w:rPr>
        <w:t xml:space="preserve">2. Four-Agent Architecture</w:t>
      </w:r>
    </w:p>
    <w:p>
      <w:pPr>
        <w:spacing w:after="100" w:before="60"/>
        <w:jc w:val="left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AWU system comprises four core agents plus two supporting components (External Oracle and Knowledge Store). Each agent runs as an independent process; communication is message-based and asynchronous unless noted.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Agent / Component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Role &amp; Responsibilities</w:t>
            </w:r>
          </w:p>
        </w:tc>
      </w:tr>
      <w:tr>
        <w:tc>
          <w:tcPr>
            <w:tcW w:type="dxa" w:w="24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D2B"/>
                <w:sz w:val="21"/>
                <w:szCs w:val="21"/>
              </w:rPr>
              <w:t xml:space="preserve">Main Agent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Core dialogue model (1B–10B); RAG retrieval; accepts feedback; hot-replaced by Trainer.</w:t>
            </w:r>
          </w:p>
        </w:tc>
      </w:tr>
      <w:tr>
        <w:tc>
          <w:tcPr>
            <w:tcW w:type="dxa" w:w="2400"/>
            <w:tcBorders>
              <w:top w:val="single" w:color="4A1942" w:sz="1"/>
              <w:left w:val="single" w:color="4A1942" w:sz="1"/>
              <w:bottom w:val="single" w:color="4A1942" w:sz="1"/>
              <w:right w:val="single" w:color="4A1942" w:sz="1"/>
            </w:tcBorders>
            <w:shd w:fill="F6EE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4A1942"/>
                <w:sz w:val="21"/>
                <w:szCs w:val="21"/>
              </w:rPr>
              <w:t xml:space="preserve">Observer Agent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Monitors every response; scores confidence; decides whether to invoke Oracle; routes new knowledge to Ingest.</w:t>
            </w:r>
          </w:p>
        </w:tc>
      </w:tr>
      <w:tr>
        <w:tc>
          <w:tcPr>
            <w:tcW w:type="dxa" w:w="2400"/>
            <w:tcBorders>
              <w:top w:val="single" w:color="7C3D0F" w:sz="1"/>
              <w:left w:val="single" w:color="7C3D0F" w:sz="1"/>
              <w:bottom w:val="single" w:color="7C3D0F" w:sz="1"/>
              <w:right w:val="single" w:color="7C3D0F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7C3D0F"/>
                <w:sz w:val="21"/>
                <w:szCs w:val="21"/>
              </w:rPr>
              <w:t xml:space="preserve">Knowledge Ingest Agent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Ingests user corrections (highest weight) and Oracle answers; deduplicates; persists to Knowledge Store; serves RAG index.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E3A5F"/>
                <w:sz w:val="21"/>
                <w:szCs w:val="21"/>
              </w:rPr>
              <w:t xml:space="preserve">Trainer Agent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Schedules fine-tuning; constructs training dataset; configures LoRA; validates and hot-swaps the new AWU version.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74151"/>
                <w:sz w:val="21"/>
                <w:szCs w:val="21"/>
              </w:rPr>
              <w:t xml:space="preserve">External Oracle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GPT-4o / Claude / Gemini; consulted only when Observer decides; lower weight than user input; usage decreases over time.</w:t>
            </w:r>
          </w:p>
        </w:tc>
      </w:tr>
      <w:tr>
        <w:tc>
          <w:tcPr>
            <w:tcW w:type="dxa" w:w="2400"/>
            <w:tcBorders>
              <w:top w:val="single" w:color="164E63" w:sz="1"/>
              <w:left w:val="single" w:color="164E63" w:sz="1"/>
              <w:bottom w:val="single" w:color="164E63" w:sz="1"/>
              <w:right w:val="single" w:color="164E63" w:sz="1"/>
            </w:tcBorders>
            <w:shd w:fill="ECF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64E63"/>
                <w:sz w:val="21"/>
                <w:szCs w:val="21"/>
              </w:rPr>
              <w:t xml:space="preserve">Knowledge Store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Vector DB (Qdrant/ChromaDB) + structured SQL; dual-indexed for RAG and training; versioned snapshots.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2.1  Main Agent</w:t>
      </w:r>
    </w:p>
    <w:p>
      <w:pPr>
        <w:pStyle w:val="Heading3"/>
        <w:spacing w:after="80" w:before="180"/>
      </w:pPr>
      <w:r>
        <w:rPr>
          <w:rFonts w:ascii="Palatino Linotype" w:cs="Palatino Linotype" w:eastAsia="Palatino Linotype" w:hAnsi="Palatino Linotype"/>
          <w:b/>
          <w:bCs/>
          <w:color w:val="1A3D2B"/>
          <w:sz w:val="23"/>
          <w:szCs w:val="23"/>
        </w:rPr>
        <w:t xml:space="preserve">Role</w:t>
      </w:r>
    </w:p>
    <w:p>
      <w:pPr>
        <w:spacing w:after="100" w:before="60"/>
        <w:jc w:val="left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Main Agent is the user-facing conversational model. It is the only agent that communicates directly with the user.</w:t>
      </w:r>
    </w:p>
    <w:p>
      <w:pPr>
        <w:pStyle w:val="Heading3"/>
        <w:spacing w:after="80" w:before="180"/>
      </w:pPr>
      <w:r>
        <w:rPr>
          <w:rFonts w:ascii="Palatino Linotype" w:cs="Palatino Linotype" w:eastAsia="Palatino Linotype" w:hAnsi="Palatino Linotype"/>
          <w:b/>
          <w:bCs/>
          <w:color w:val="1A3D2B"/>
          <w:sz w:val="23"/>
          <w:szCs w:val="23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Receive user queries and generate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Perform Retrieval-Augmented Generation (RAG) over the Knowledge Store before responding.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Forward each generated response to the Observer Agent for confidence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Accept corrective feedback signals from the Observer and adjust output accordingly.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Be replaced (hot-swapped) by the Trainer Agent when a new version AWU v(n+1) is ready.</w:t>
      </w:r>
    </w:p>
    <w:p>
      <w:pPr>
        <w:pStyle w:val="Heading3"/>
        <w:spacing w:after="80" w:before="180"/>
      </w:pPr>
      <w:r>
        <w:rPr>
          <w:rFonts w:ascii="Palatino Linotype" w:cs="Palatino Linotype" w:eastAsia="Palatino Linotype" w:hAnsi="Palatino Linotype"/>
          <w:b/>
          <w:bCs/>
          <w:color w:val="1A3D2B"/>
          <w:sz w:val="23"/>
          <w:szCs w:val="23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Base model: Qwen2.5-3B or Phi-3.5-mini (recommended starting points).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Model is versioned: AWU v1.0 is the initial fine-tuned checkpoint; subsequent versions increment the minor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RAG retrieval uses the vector index maintained by the Ingest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model does not decide whether to call the Oracle — that decision belongs exclusively to the Observer.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2.2  Observer Agent</w:t>
      </w:r>
    </w:p>
    <w:p>
      <w:pPr>
        <w:pStyle w:val="Heading3"/>
        <w:spacing w:after="80" w:before="180"/>
      </w:pPr>
      <w:r>
        <w:rPr>
          <w:rFonts w:ascii="Palatino Linotype" w:cs="Palatino Linotype" w:eastAsia="Palatino Linotype" w:hAnsi="Palatino Linotype"/>
          <w:b/>
          <w:bCs/>
          <w:color w:val="4A1942"/>
          <w:sz w:val="23"/>
          <w:szCs w:val="23"/>
        </w:rPr>
        <w:t xml:space="preserve">Role</w:t>
      </w:r>
    </w:p>
    <w:p>
      <w:pPr>
        <w:spacing w:after="100" w:before="60"/>
        <w:jc w:val="left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Observer Agent acts as the supervisory layer sitting between the Main Agent and the External Oracle. It is responsible for all confidence assessment logic and Oracle interaction decisions.</w:t>
      </w:r>
    </w:p>
    <w:p>
      <w:pPr>
        <w:pStyle w:val="Heading3"/>
        <w:spacing w:after="80" w:before="180"/>
      </w:pPr>
      <w:r>
        <w:rPr>
          <w:rFonts w:ascii="Palatino Linotype" w:cs="Palatino Linotype" w:eastAsia="Palatino Linotype" w:hAnsi="Palatino Linotype"/>
          <w:b/>
          <w:bCs/>
          <w:color w:val="4A1942"/>
          <w:sz w:val="23"/>
          <w:szCs w:val="23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Receive the context–response pair from the Main Agent after every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Compute a confidence score using a defined scoring function (e.g., perplexity, ensemble disagreement, or a dedicated classifier).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Decide whether the response is sufficient or whether Oracle consultation is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Oracle is needed: select the appropriate external model, construct the query prompt, and dispatch the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Receive and validate the Oracle's answer for quality and relevance.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Route newly acquired knowledge (both Oracle answers and confirmed corrections) to the Ingest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Send corrective feedback or an approval signal back to the Main Agent.</w:t>
      </w:r>
    </w:p>
    <w:p>
      <w:pPr>
        <w:pStyle w:val="Heading3"/>
        <w:spacing w:after="80" w:before="180"/>
      </w:pPr>
      <w:r>
        <w:rPr>
          <w:rFonts w:ascii="Palatino Linotype" w:cs="Palatino Linotype" w:eastAsia="Palatino Linotype" w:hAnsi="Palatino Linotype"/>
          <w:b/>
          <w:bCs/>
          <w:color w:val="4A1942"/>
          <w:sz w:val="23"/>
          <w:szCs w:val="23"/>
        </w:rPr>
        <w:t xml:space="preserve">Decision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942" w:sz="1"/>
              <w:left w:val="single" w:color="4A1942" w:sz="1"/>
              <w:bottom w:val="single" w:color="4A1942" w:sz="1"/>
              <w:right w:val="single" w:color="4A1942" w:sz="1"/>
            </w:tcBorders>
            <w:shd w:fill="F6EE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4A1942"/>
                <w:sz w:val="22"/>
                <w:szCs w:val="22"/>
              </w:rPr>
              <w:t xml:space="preserve">Confidence threshold τ:  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If confidence_score(response) ≥ τ → approve and return to user. If confidence_score(response) &lt; τ → query Oracle → validate → route to Ingest → return augmented response.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2.3  Knowledge Ingest Agent</w:t>
      </w:r>
    </w:p>
    <w:p>
      <w:pPr>
        <w:pStyle w:val="Heading3"/>
        <w:spacing w:after="80" w:before="180"/>
      </w:pPr>
      <w:r>
        <w:rPr>
          <w:rFonts w:ascii="Palatino Linotype" w:cs="Palatino Linotype" w:eastAsia="Palatino Linotype" w:hAnsi="Palatino Linotype"/>
          <w:b/>
          <w:bCs/>
          <w:color w:val="7C3D0F"/>
          <w:sz w:val="23"/>
          <w:szCs w:val="23"/>
        </w:rPr>
        <w:t xml:space="preserve">Role</w:t>
      </w:r>
    </w:p>
    <w:p>
      <w:pPr>
        <w:spacing w:after="100" w:before="60"/>
        <w:jc w:val="left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Ingest Agent is the sole read/write manager for the Knowledge Store. It receives knowledge signals from two sources, applies weight hierarchy rules, and maintains the dual-indexed store used by both the Main Agent (RAG) and the Trainer Agent (training data).</w:t>
      </w:r>
    </w:p>
    <w:p>
      <w:pPr>
        <w:pStyle w:val="Heading3"/>
        <w:spacing w:after="80" w:before="180"/>
      </w:pPr>
      <w:r>
        <w:rPr>
          <w:rFonts w:ascii="Palatino Linotype" w:cs="Palatino Linotype" w:eastAsia="Palatino Linotype" w:hAnsi="Palatino Linotype"/>
          <w:b/>
          <w:bCs/>
          <w:color w:val="7C3D0F"/>
          <w:sz w:val="23"/>
          <w:szCs w:val="23"/>
        </w:rPr>
        <w:t xml:space="preserve">Weight Hierarchy — Critical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D0F" w:sz="1"/>
              <w:left w:val="single" w:color="7C3D0F" w:sz="1"/>
              <w:bottom w:val="single" w:color="7C3D0F" w:sz="1"/>
              <w:right w:val="single" w:color="7C3D0F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7C3D0F"/>
                <w:sz w:val="22"/>
                <w:szCs w:val="22"/>
              </w:rPr>
              <w:t xml:space="preserve">Priority ①:  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User correction / explicit teaching — highest weight, no review, ingested immediately.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Palatino Linotype" w:cs="Palatino Linotype" w:eastAsia="Palatino Linotype" w:hAnsi="Palatino Linotype"/>
                <w:b/>
                <w:bCs/>
                <w:i w:val="false"/>
                <w:iCs w:val="false"/>
                <w:color w:val="374151"/>
                <w:sz w:val="22"/>
                <w:szCs w:val="22"/>
              </w:rPr>
              <w:t xml:space="preserve">Priority ②:  </w:t>
            </w: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Oracle answer (routed via Observer) — secondary weight; quality score and source tag attached.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Palatino Linotype" w:cs="Palatino Linotype" w:eastAsia="Palatino Linotype" w:hAnsi="Palatino Linotype"/>
          <w:b/>
          <w:bCs/>
          <w:color w:val="7C3D0F"/>
          <w:sz w:val="23"/>
          <w:szCs w:val="23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Accept knowledge signals from: (a) User corrections and (b) Observer-flagged Oracle answers.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Deduplicate incoming entries against existing Knowledge Store contents.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Format entries as structured QA pairs with metadata: {question, answer, source, weight, domain_tag, timestamp}.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Persist formatted entries to the Knowledge Store (vector + SQL layers).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Maintain and refresh the RAG vector index served to the Main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Respond to Trainer Agent requests: export a stratified training dataset on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Maintain versioned knowledge snapshots for rollback support.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2.4  Trainer Agent</w:t>
      </w:r>
    </w:p>
    <w:p>
      <w:pPr>
        <w:pStyle w:val="Heading3"/>
        <w:spacing w:after="80" w:before="180"/>
      </w:pPr>
      <w:r>
        <w:rPr>
          <w:rFonts w:ascii="Palatino Linotype" w:cs="Palatino Linotype" w:eastAsia="Palatino Linotype" w:hAnsi="Palatino Linotype"/>
          <w:b/>
          <w:bCs/>
          <w:color w:val="1E3A5F"/>
          <w:sz w:val="23"/>
          <w:szCs w:val="23"/>
        </w:rPr>
        <w:t xml:space="preserve">Role</w:t>
      </w:r>
    </w:p>
    <w:p>
      <w:pPr>
        <w:spacing w:after="100" w:before="60"/>
        <w:jc w:val="left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Trainer Agent manages the entire fine-tuning lifecycle: scheduling, dataset construction, hyperparameter configuration, fine-tuning execution, evaluation, and model deployment.</w:t>
      </w:r>
    </w:p>
    <w:p>
      <w:pPr>
        <w:pStyle w:val="Heading3"/>
        <w:spacing w:after="80" w:before="180"/>
      </w:pPr>
      <w:r>
        <w:rPr>
          <w:rFonts w:ascii="Palatino Linotype" w:cs="Palatino Linotype" w:eastAsia="Palatino Linotype" w:hAnsi="Palatino Linotype"/>
          <w:b/>
          <w:bCs/>
          <w:color w:val="1E3A5F"/>
          <w:sz w:val="23"/>
          <w:szCs w:val="23"/>
        </w:rPr>
        <w:t xml:space="preserve">Trigger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Primary trigger: N new entries have been added to the Knowledge Store (recommended N = 500).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Secondary trigger: scheduled interval (e.g., weekly or monthly) as a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Emergency trigger: sustained drop in user satisfaction signal or increase in Oracle call rate.</w:t>
      </w:r>
    </w:p>
    <w:p>
      <w:pPr>
        <w:pStyle w:val="Heading3"/>
        <w:spacing w:after="80" w:before="180"/>
      </w:pPr>
      <w:r>
        <w:rPr>
          <w:rFonts w:ascii="Palatino Linotype" w:cs="Palatino Linotype" w:eastAsia="Palatino Linotype" w:hAnsi="Palatino Linotype"/>
          <w:b/>
          <w:bCs/>
          <w:color w:val="1E3A5F"/>
          <w:sz w:val="23"/>
          <w:szCs w:val="23"/>
        </w:rPr>
        <w:t xml:space="preserve">Training Dataset Construction</w:t>
      </w:r>
    </w:p>
    <w:p>
      <w:pPr>
        <w:spacing w:after="100" w:before="60"/>
        <w:jc w:val="left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Trainer requests a curated batch from the Ingest Agent and assembles the following mix:</w:t>
      </w:r>
    </w:p>
    <w:p>
      <w:pPr>
        <w:spacing w:after="60" w:before="6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Data Source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Proportion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User Teaching Data</w:t>
            </w:r>
          </w:p>
        </w:tc>
        <w:tc>
          <w:tcPr>
            <w:tcW w:type="dxa" w:w="200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D2B"/>
                <w:sz w:val="21"/>
                <w:szCs w:val="21"/>
              </w:rPr>
              <w:t xml:space="preserve">35%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Oracle Answer Data</w:t>
            </w:r>
          </w:p>
        </w:tc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374151"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Historical QA Data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E3A5F"/>
                <w:sz w:val="21"/>
                <w:szCs w:val="21"/>
              </w:rPr>
              <w:t xml:space="preserve">30%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Noise / Negatives</w:t>
            </w:r>
          </w:p>
        </w:tc>
        <w:tc>
          <w:tcPr>
            <w:tcW w:type="dxa" w:w="2000"/>
            <w:tcBorders>
              <w:top w:val="single" w:color="7C3D0F" w:sz="1"/>
              <w:left w:val="single" w:color="7C3D0F" w:sz="1"/>
              <w:bottom w:val="single" w:color="7C3D0F" w:sz="1"/>
              <w:right w:val="single" w:color="7C3D0F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7C3D0F"/>
                <w:sz w:val="21"/>
                <w:szCs w:val="21"/>
              </w:rPr>
              <w:t xml:space="preserve">10%</w:t>
            </w:r>
          </w:p>
        </w:tc>
      </w:tr>
    </w:tbl>
    <w:p>
      <w:pPr>
        <w:spacing w:after="80" w:before="80"/>
      </w:pPr>
    </w:p>
    <w:p>
      <w:pPr>
        <w:spacing w:after="100" w:before="60"/>
        <w:jc w:val="left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noise/negative component is critical for robustness and prevents the model from over-fitting to recently acquired patterns.</w:t>
      </w:r>
    </w:p>
    <w:p>
      <w:pPr>
        <w:pStyle w:val="Heading3"/>
        <w:spacing w:after="80" w:before="180"/>
      </w:pPr>
      <w:r>
        <w:rPr>
          <w:rFonts w:ascii="Palatino Linotype" w:cs="Palatino Linotype" w:eastAsia="Palatino Linotype" w:hAnsi="Palatino Linotype"/>
          <w:b/>
          <w:bCs/>
          <w:color w:val="1E3A5F"/>
          <w:sz w:val="23"/>
          <w:szCs w:val="23"/>
        </w:rPr>
        <w:t xml:space="preserve">Training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Request stratified dataset from Ingest Agent.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Define training configuration: LoRA rank, alpha, target modules, learning rate schedule, batch size, max steps.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Define evaluation metrics: perplexity (PPL), task accuracy, F1 on held-out validation set.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Submit job to fine-tuning interface (e.g., LLaMA-Factory, Unsloth, HuggingFace Trainer).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Evaluate fine-tuned checkpoint: compare PPL and accuracy against current live model.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A/B validation: route 10% of traffic to new model; measure Oracle call rate reduction as primary KPI.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validation passes: hot-swap deploy — update soft-link to new checkpoint; Main Agent loads AWU v(n+1).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Archive old checkpoint as a versioned snapshot; maintain rollback capability.</w:t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160" w:before="320"/>
      </w:pPr>
      <w:r>
        <w:rPr>
          <w:rFonts w:ascii="Palatino Linotype" w:cs="Palatino Linotype" w:eastAsia="Palatino Linotype" w:hAnsi="Palatino Linotype"/>
          <w:b/>
          <w:bCs/>
          <w:color w:val="1E3A5F"/>
          <w:sz w:val="32"/>
          <w:szCs w:val="32"/>
        </w:rPr>
        <w:t xml:space="preserve">3. Interaction Topology</w:t>
      </w:r>
    </w:p>
    <w:p>
      <w:pPr>
        <w:spacing w:after="100" w:before="60"/>
        <w:jc w:val="left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following table enumerates every directed edge in the system graph. Dashed entries indicate asynchronous or request-response interactions.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Interaction</w:t>
            </w:r>
          </w:p>
        </w:tc>
        <w:tc>
          <w:tcPr>
            <w:tcW w:type="dxa" w:w="61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User → Main Agent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User submits natural language query; Main Agent returns response.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User → Ingest Agent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User provides error correction or explicit teaching (highest-weight signal; no review required).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Main Agent → Observer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Main Agent forwards generated context and response for supervisory evaluation.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Observer → Main Agent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Observer sends corrective feedback or approval signal after evaluation.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Observer → Oracle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Observer constructs and dispatches query prompt to selected external Oracle.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Oracle → Observer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Oracle returns answer; Observer validates quality before further routing.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Observer → Ingest Agent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Observer flags newly acquired knowledge entries for ingestion.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Ingest Agent ↔ Knowledge Store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Ingest Agent writes cleaned QA pairs; reads back for RAG index and training export.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Ingest Agent → Main Agent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Ingest Agent serves updated RAG index enabling knowledge-augmented generation.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Trainer → Ingest Agent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Trainer requests curated training dataset according to mixing rules.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Ingest Agent → Trainer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Ingest Agent returns stratified training data batch (dashed: asynchronous).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Trainer → Main Agent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Trainer deploys validated AWU v(n+1) via hot-swap, replacing the current model.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3.1  Self-Evolving Loop</w:t>
      </w:r>
    </w:p>
    <w:p>
      <w:pPr>
        <w:spacing w:after="100" w:before="60"/>
        <w:jc w:val="left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system forms a closed reinforcement loop: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EDF7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A3D2B"/>
                <w:sz w:val="21"/>
                <w:szCs w:val="21"/>
              </w:rPr>
              <w:t xml:space="preserve">User interaction  →  Observer evaluation  →  Knowledge ingestion  →  Trainer fine-tuning  →  AWU v(n+1) deployment  →  improved Main Agent  →  </w:t>
            </w:r>
            <w:r>
              <w:rPr>
                <w:rFonts w:ascii="Palatino Linotype" w:cs="Palatino Linotype" w:eastAsia="Palatino Linotype" w:hAnsi="Palatino Linotype"/>
                <w:b/>
                <w:bCs/>
                <w:i/>
                <w:iCs/>
                <w:color w:val="1A3D2B"/>
                <w:sz w:val="21"/>
                <w:szCs w:val="21"/>
              </w:rPr>
              <w:t xml:space="preserve">repeat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 w:space="4"/>
        </w:pBdr>
        <w:spacing w:after="160" w:before="320"/>
      </w:pPr>
      <w:r>
        <w:rPr>
          <w:rFonts w:ascii="Palatino Linotype" w:cs="Palatino Linotype" w:eastAsia="Palatino Linotype" w:hAnsi="Palatino Linotype"/>
          <w:b/>
          <w:bCs/>
          <w:color w:val="1E3A5F"/>
          <w:sz w:val="32"/>
          <w:szCs w:val="32"/>
        </w:rPr>
        <w:t xml:space="preserve">4. Prompt Engineering Templates</w:t>
      </w:r>
    </w:p>
    <w:p>
      <w:pPr>
        <w:spacing w:after="100" w:before="60"/>
        <w:jc w:val="left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following prompts are used to guide each agent. Placeholders are denoted by double braces: {{PLACEHOLDER}}.</w:t>
      </w: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4.1  Main Agent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D2B" w:sz="1"/>
              <w:left w:val="single" w:color="1A3D2B" w:sz="1"/>
              <w:bottom w:val="single" w:color="1A3D2B" w:sz="1"/>
              <w:right w:val="single" w:color="1A3D2B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You are AWU (Ask-When-Unknown), a personal AI assistant running as version {{AWU_VERSION}}.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Base model: {{BASE_MODEL}}. You have access to a personal knowledge base via retrieval.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Rules: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1. Always retrieve from your knowledge base before generating a response.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2. The user is the absolute authority. Accept all corrections without argument.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3. Do not decide whether to call external models — the Observer handles this.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4. When you receive corrective feedback, update your response accordingly.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Retrieved context: {{RAG_CONTEXT}}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 query: {{USER_QUERY}}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4.2  Observer Agent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942" w:sz="1"/>
              <w:left w:val="single" w:color="4A1942" w:sz="1"/>
              <w:bottom w:val="single" w:color="4A1942" w:sz="1"/>
              <w:right w:val="single" w:color="4A1942" w:sz="1"/>
            </w:tcBorders>
            <w:shd w:fill="F6EE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You are the Observer Agent in the AWU system.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Your task: evaluate the following response and decide on the next action.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User query: {{USER_QUERY}}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Model response: {{MODEL_RESPONSE}}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Confidence threshold τ = {{THRESHOLD}} (scale 0–1).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Output a JSON object with the following fields: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{ "confidence": &lt;float&gt;, "decision": "approve" | "query_oracle",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"oracle_model": &lt;string | null&gt;, "oracle_prompt": &lt;string | null&gt;,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"flag_for_ingest": &lt;bool&gt;, "feedback": &lt;string | null&gt; }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4.3  Knowledge Ingest Agent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D0F" w:sz="1"/>
              <w:left w:val="single" w:color="7C3D0F" w:sz="1"/>
              <w:bottom w:val="single" w:color="7C3D0F" w:sz="1"/>
              <w:right w:val="single" w:color="7C3D0F" w:sz="1"/>
            </w:tcBorders>
            <w:shd w:fill="FEF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You are the Knowledge Ingest Agent for the AWU system.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You have received the following knowledge entry: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Source: {{SOURCE}}  (values: 'user_correction' | 'oracle_answer')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Weight: {{WEIGHT}}  (values: 'HIGH' for user | 'MED' for oracle)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Raw entry: {{RAW_ENTRY}}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Tasks: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1. Clean and deduplicate against existing knowledge base.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2. Reformat as: { question, answer, source, weight, domain_tag, timestamp }.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3. Output the formatted JSON entry for database insertion.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4.4  Trainer Agent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3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You are the Trainer Agent for the AWU system.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Current model version: {{CURRENT_VERSION}}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New entries since last training: {{NEW_ENTRY_COUNT}}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Step 1 — Request dataset from Ingest Agent: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Compose a stratified batch: 35% user, 25% oracle, 30% historical, 10% noise.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Step 2 — Configure training: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LoRA rank=16, alpha=32, target_modules=[q_proj, v_proj], lr=2e-4, epochs=3.</w:t>
            </w:r>
          </w:p>
          <w:p>
            <w:pPr>
              <w:spacing w:after="10" w:before="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Step 3 — Define evaluation: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Primary: PPL reduction on held-out set. Secondary: Oracle call rate reduction.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Step 4 — Output a training_config JSON and trigger the fine-tuning interface.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 w:space="4"/>
        </w:pBdr>
        <w:spacing w:after="160" w:before="320"/>
      </w:pPr>
      <w:r>
        <w:rPr>
          <w:rFonts w:ascii="Palatino Linotype" w:cs="Palatino Linotype" w:eastAsia="Palatino Linotype" w:hAnsi="Palatino Linotype"/>
          <w:b/>
          <w:bCs/>
          <w:color w:val="1E3A5F"/>
          <w:sz w:val="32"/>
          <w:szCs w:val="32"/>
        </w:rPr>
        <w:t xml:space="preserve">5. Implementation Reference</w:t>
      </w: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5.1 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Recommended</w:t>
            </w:r>
          </w:p>
        </w:tc>
        <w:tc>
          <w:tcPr>
            <w:tcW w:type="dxa" w:w="3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Alternatives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Main Agent model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3D2B"/>
                <w:sz w:val="19"/>
                <w:szCs w:val="19"/>
              </w:rPr>
              <w:t xml:space="preserve">Qwen2.5-3B / Phi-3.5-mini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Llama-3.2-3B, Gemma-2-2B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Fine-tuning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3D2B"/>
                <w:sz w:val="19"/>
                <w:szCs w:val="19"/>
              </w:rPr>
              <w:t xml:space="preserve">LLaMA-Factory + LoRA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Unsloth, HuggingFace PEFT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Vector DB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3D2B"/>
                <w:sz w:val="19"/>
                <w:szCs w:val="19"/>
              </w:rPr>
              <w:t xml:space="preserve">Qdrant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ChromaDB, FAISS, Weaviate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Structured DB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3D2B"/>
                <w:sz w:val="19"/>
                <w:szCs w:val="19"/>
              </w:rPr>
              <w:t xml:space="preserve">SQLite (dev) / PostgreSQL (prod)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MySQL, DuckDB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Task scheduling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3D2B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APScheduler, cron + queue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Model serving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3D2B"/>
                <w:sz w:val="19"/>
                <w:szCs w:val="19"/>
              </w:rPr>
              <w:t xml:space="preserve">vLLM / Ollama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llama.cpp, TGI, RKNN (edge)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Orchestration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3D2B"/>
                <w:sz w:val="19"/>
                <w:szCs w:val="19"/>
              </w:rPr>
              <w:t xml:space="preserve">Python async (asyncio)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LangGraph, CrewAI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RAG framework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3D2B"/>
                <w:sz w:val="19"/>
                <w:szCs w:val="19"/>
              </w:rPr>
              <w:t xml:space="preserve">LlamaIndex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LangChain, custom</w:t>
            </w:r>
          </w:p>
        </w:tc>
      </w:tr>
    </w:tbl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5.2  Key Implementation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User correction path must never pass through any validation or review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Observer Agent confidence scoring must be stateless and fast (&lt;100 ms latency target).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Ingest Agent must be the single writer to the Knowledge Store — no other agent writes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Trainer Agent must run in a separate process/container; it must never block the Main Agent's event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Hot-swap deployment must use atomic symlink switching to ensure zero downtime.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knowledge entries must include provenance metadata (source, weight, timestamp) — this is non-negotiable for training data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LoRA adapters are versioned alongside full model checkpoints; rollback must be achievable within 60 seconds.</w:t>
      </w:r>
    </w:p>
    <w:p>
      <w:pPr>
        <w:spacing w:after="100" w:before="100"/>
      </w:pP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5.3 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Oracle call rate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Fraction of queries routed to Oracle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1A3D2B"/>
                <w:sz w:val="21"/>
                <w:szCs w:val="21"/>
              </w:rPr>
              <w:t xml:space="preserve">Decreasing over versions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Knowledge base growth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New QA entries added per week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1A3D2B"/>
                <w:sz w:val="21"/>
                <w:szCs w:val="21"/>
              </w:rPr>
              <w:t xml:space="preserve">Monotonically increasing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Response PPL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Perplexity on held-out validation set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1A3D2B"/>
                <w:sz w:val="21"/>
                <w:szCs w:val="21"/>
              </w:rPr>
              <w:t xml:space="preserve">Decreasing over versions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User correction rate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User corrections per 100 interactions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1A3D2B"/>
                <w:sz w:val="21"/>
                <w:szCs w:val="21"/>
              </w:rPr>
              <w:t xml:space="preserve">Decreasing over versions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Deployment latency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Time from fine-tuning end to hot-swap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1A3D2B"/>
                <w:sz w:val="21"/>
                <w:szCs w:val="21"/>
              </w:rPr>
              <w:t xml:space="preserve">&lt; 5 minutes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Rollback success rate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% of rollbacks completing within SLA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1A3D2B"/>
                <w:sz w:val="21"/>
                <w:szCs w:val="21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4" w:space="4"/>
        </w:pBdr>
        <w:spacing w:after="160" w:before="320"/>
      </w:pPr>
      <w:r>
        <w:rPr>
          <w:rFonts w:ascii="Palatino Linotype" w:cs="Palatino Linotype" w:eastAsia="Palatino Linotype" w:hAnsi="Palatino Linotype"/>
          <w:b/>
          <w:bCs/>
          <w:color w:val="1E3A5F"/>
          <w:sz w:val="32"/>
          <w:szCs w:val="32"/>
        </w:rPr>
        <w:t xml:space="preserve">6. Notes for Paper Writing</w:t>
      </w: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6.1  Suggested Framing</w:t>
      </w:r>
    </w:p>
    <w:p>
      <w:pPr>
        <w:spacing w:after="100" w:before="60"/>
        <w:jc w:val="left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Position AWU as an instance of continual learning applied to personal LLM assistants. The key novelty claims are: (1) the Observer Agent as an explicit supervisory layer for confidence-gated external consultation; (2) the user-authority principle as a first-class design constraint rather than an afterthought; and (3) the closed-loop architecture enabling non-disruptive iterative model evolution.</w:t>
      </w: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6.2  Related Work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Continual learning / lifelong learning in language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Retrieval-Augmented Generation (RAG)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Knowledge distillation from large to small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Parameter-efficient fine-tuning (LoRA, QLoRA, Adapter)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Human-in-the-loop machine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Self-improving AI systems / online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Catastrophic forgetting and knowledge retention in neural networks</w:t>
      </w: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6.3  Figure Reference</w:t>
      </w:r>
    </w:p>
    <w:p>
      <w:pPr>
        <w:spacing w:after="100" w:before="60"/>
        <w:jc w:val="left"/>
      </w:pPr>
      <w:r>
        <w:rPr>
          <w:rFonts w:ascii="Palatino Linotype" w:cs="Palatino Linotype" w:eastAsia="Palatino Linotype" w:hAnsi="Palatino Linotype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system architecture figure (Figure 1) is provided as a compiled TikZ/PDF file (awu_framework.pdf). The source .tex file (awu_framework.tex) is included for direct integration into the LaTeX paper. The figure uses a four-quadrant layout with Main Agent at center, Observer at right, Ingest Agent at left, and Trainer at bottom, with User and Oracle as external nodes.</w:t>
      </w:r>
    </w:p>
    <w:p>
      <w:pPr>
        <w:pStyle w:val="Heading2"/>
        <w:spacing w:after="100" w:before="240"/>
      </w:pPr>
      <w:r>
        <w:rPr>
          <w:rFonts w:ascii="Palatino Linotype" w:cs="Palatino Linotype" w:eastAsia="Palatino Linotype" w:hAnsi="Palatino Linotype"/>
          <w:b/>
          <w:bCs/>
          <w:color w:val="1A3D2B"/>
          <w:sz w:val="26"/>
          <w:szCs w:val="26"/>
        </w:rPr>
        <w:t xml:space="preserve">6.4  Terminology Consistency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Use this term</w:t>
            </w:r>
          </w:p>
        </w:tc>
        <w:tc>
          <w:tcPr>
            <w:tcW w:type="dxa" w:w="6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Instead of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AWU Main Agent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4748B"/>
                <w:sz w:val="21"/>
                <w:szCs w:val="21"/>
              </w:rPr>
              <w:t xml:space="preserve">chatbot, base model, language model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Observer Agent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4748B"/>
                <w:sz w:val="21"/>
                <w:szCs w:val="21"/>
              </w:rPr>
              <w:t xml:space="preserve">evaluator, judge, supervisor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Knowledge Ingest Agent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4748B"/>
                <w:sz w:val="21"/>
                <w:szCs w:val="21"/>
              </w:rPr>
              <w:t xml:space="preserve">memory module, data agent, storage agent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Trainer Agent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4748B"/>
                <w:sz w:val="21"/>
                <w:szCs w:val="21"/>
              </w:rPr>
              <w:t xml:space="preserve">fine-tuning module, training scheduler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Knowledge Store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4748B"/>
                <w:sz w:val="21"/>
                <w:szCs w:val="21"/>
              </w:rPr>
              <w:t xml:space="preserve">database, memory, vector store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External Oracle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4748B"/>
                <w:sz w:val="21"/>
                <w:szCs w:val="21"/>
              </w:rPr>
              <w:t xml:space="preserve">LLM API, GPT, external model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7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Confidence score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4748B"/>
                <w:sz w:val="21"/>
                <w:szCs w:val="21"/>
              </w:rPr>
              <w:t xml:space="preserve">certainty, probability, score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Hot-swap deployment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i/>
                <w:iCs/>
                <w:color w:val="64748B"/>
                <w:sz w:val="21"/>
                <w:szCs w:val="21"/>
              </w:rPr>
              <w:t xml:space="preserve">model update, replacement, rollout</w:t>
            </w:r>
          </w:p>
        </w:tc>
      </w:tr>
    </w:tbl>
    <w:p>
      <w:pPr>
        <w:spacing w:after="200" w:before="200"/>
      </w:pPr>
    </w:p>
    <w:p>
      <w:pPr>
        <w:pBdr>
          <w:bottom w:val="single" w:color="CBD5E1" w:sz="2" w:space="1"/>
        </w:pBdr>
        <w:spacing w:after="80" w:before="80"/>
      </w:pPr>
    </w:p>
    <w:p>
      <w:pPr>
        <w:spacing w:after="100" w:before="100"/>
      </w:pPr>
    </w:p>
    <w:p>
      <w:pPr>
        <w:spacing w:after="80" w:before="8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i/>
          <w:iCs/>
          <w:color w:val="64748B"/>
          <w:sz w:val="19"/>
          <w:szCs w:val="19"/>
        </w:rPr>
        <w:t xml:space="preserve">End of Document — AWU System Prompt &amp; Architecture Reference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360"/>
      </w:tabs>
      <w:jc w:val="left"/>
    </w:pPr>
    <w:r>
      <w:rPr>
        <w:rFonts w:ascii="Palatino Linotype" w:cs="Palatino Linotype" w:eastAsia="Palatino Linotype" w:hAnsi="Palatino Linotype"/>
        <w:b w:val="false"/>
        <w:bCs w:val="false"/>
        <w:i/>
        <w:iCs/>
        <w:color w:val="64748B"/>
        <w:sz w:val="18"/>
        <w:szCs w:val="18"/>
      </w:rPr>
      <w:t xml:space="preserve">AWU System — Prompt &amp; Architecture Reference</w:t>
    </w:r>
    <w:r>
      <w:rPr>
        <w:rFonts w:ascii="Palatino Linotype" w:cs="Palatino Linotype" w:eastAsia="Palatino Linotype" w:hAnsi="Palatino Linotype"/>
        <w:color w:val="64748B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Palatino Linotype" w:cs="Palatino Linotype" w:eastAsia="Palatino Linotype" w:hAnsi="Palatino Linotype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Palatino Linotype" w:cs="Palatino Linotype" w:eastAsia="Palatino Linotype" w:hAnsi="Palatino Linotype"/>
      <w:b/>
      <w:bCs/>
      <w:color w:val="1A3D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Palatino Linotype" w:cs="Palatino Linotype" w:eastAsia="Palatino Linotype" w:hAnsi="Palatino Linotype"/>
      <w:b/>
      <w:bCs/>
      <w:color w:val="4A194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2026-05-01T04:49:35.615Z</dcterms:created>
  <dcterms:modified xsi:type="dcterms:W3CDTF">2026-05-01T04:49:35.616Z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