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Report for ForestQuery into Global Deforestation, 1990 to 2016</w:t>
      </w:r>
    </w:p>
    <w:p>
      <w:r>
        <w:t>ForestQuery is on a mission to combat deforestation around the world and to raise awareness about how land-use change affects communities and ecosystems. This report uses the supplied World Bank forest-area, land-area, and regional datasets to identify the clearest patterns in global, regional, and country-level forestation between 1990 and 2016.</w:t>
      </w:r>
    </w:p>
    <w:p>
      <w:pPr>
        <w:pStyle w:val="Heading1"/>
      </w:pPr>
      <w:r>
        <w:t>1. Global Situation</w:t>
      </w:r>
    </w:p>
    <w:p>
      <w:r>
        <w:t>In 1990, the world had 41,282,694.90 sq km of forest area. By 2016, that figure had fallen to 39,958,245.90 sq km, a net loss of 1,324,449.00 sq km or 3.21%.</w:t>
      </w:r>
    </w:p>
    <w:p>
      <w:r>
        <w:t>The amount of forest area lost during this period is closest to the 2016 total land area of Peru, which had 1,279,999.99 sq km of land area.</w:t>
      </w:r>
    </w:p>
    <w:p>
      <w:pPr>
        <w:pStyle w:val="Heading1"/>
      </w:pPr>
      <w:r>
        <w:t>2. Regional Outlook</w:t>
      </w:r>
    </w:p>
    <w:p>
      <w:r>
        <w:t>In 2016, 31.38% of the world's land area was forested. The highest regional forest share was in Latin America &amp; Caribbean at 46.16%, while the lowest was in Middle East &amp; North Africa at 2.07%.</w:t>
      </w:r>
    </w:p>
    <w:p>
      <w:r>
        <w:t>In 1990, the world forest share was 32.42%. The highest regional forest share was again Latin America &amp; Caribbean at 51.03%, and the lowest was again Middle East &amp; North Africa at 1.78%.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Region</w:t>
            </w:r>
          </w:p>
        </w:tc>
        <w:tc>
          <w:tcPr>
            <w:tcW w:type="dxa" w:w="2880"/>
          </w:tcPr>
          <w:p>
            <w:r>
              <w:t>1990 Forest Percentage</w:t>
            </w:r>
          </w:p>
        </w:tc>
        <w:tc>
          <w:tcPr>
            <w:tcW w:type="dxa" w:w="2880"/>
          </w:tcPr>
          <w:p>
            <w:r>
              <w:t>2016 Forest Percentage</w:t>
            </w:r>
          </w:p>
        </w:tc>
      </w:tr>
      <w:tr>
        <w:tc>
          <w:tcPr>
            <w:tcW w:type="dxa" w:w="2880"/>
          </w:tcPr>
          <w:p>
            <w:r>
              <w:t>East Asia &amp; Pacific</w:t>
            </w:r>
          </w:p>
        </w:tc>
        <w:tc>
          <w:tcPr>
            <w:tcW w:type="dxa" w:w="2880"/>
          </w:tcPr>
          <w:p>
            <w:r>
              <w:t>25.78%</w:t>
            </w:r>
          </w:p>
        </w:tc>
        <w:tc>
          <w:tcPr>
            <w:tcW w:type="dxa" w:w="2880"/>
          </w:tcPr>
          <w:p>
            <w:r>
              <w:t>26.36%</w:t>
            </w:r>
          </w:p>
        </w:tc>
      </w:tr>
      <w:tr>
        <w:tc>
          <w:tcPr>
            <w:tcW w:type="dxa" w:w="2880"/>
          </w:tcPr>
          <w:p>
            <w:r>
              <w:t>Europe &amp; Central Asia</w:t>
            </w:r>
          </w:p>
        </w:tc>
        <w:tc>
          <w:tcPr>
            <w:tcW w:type="dxa" w:w="2880"/>
          </w:tcPr>
          <w:p>
            <w:r>
              <w:t>37.28%</w:t>
            </w:r>
          </w:p>
        </w:tc>
        <w:tc>
          <w:tcPr>
            <w:tcW w:type="dxa" w:w="2880"/>
          </w:tcPr>
          <w:p>
            <w:r>
              <w:t>38.04%</w:t>
            </w:r>
          </w:p>
        </w:tc>
      </w:tr>
      <w:tr>
        <w:tc>
          <w:tcPr>
            <w:tcW w:type="dxa" w:w="2880"/>
          </w:tcPr>
          <w:p>
            <w:r>
              <w:t>Latin America &amp; Caribbean</w:t>
            </w:r>
          </w:p>
        </w:tc>
        <w:tc>
          <w:tcPr>
            <w:tcW w:type="dxa" w:w="2880"/>
          </w:tcPr>
          <w:p>
            <w:r>
              <w:t>51.03%</w:t>
            </w:r>
          </w:p>
        </w:tc>
        <w:tc>
          <w:tcPr>
            <w:tcW w:type="dxa" w:w="2880"/>
          </w:tcPr>
          <w:p>
            <w:r>
              <w:t>46.16%</w:t>
            </w:r>
          </w:p>
        </w:tc>
      </w:tr>
      <w:tr>
        <w:tc>
          <w:tcPr>
            <w:tcW w:type="dxa" w:w="2880"/>
          </w:tcPr>
          <w:p>
            <w:r>
              <w:t>Middle East &amp; North Africa</w:t>
            </w:r>
          </w:p>
        </w:tc>
        <w:tc>
          <w:tcPr>
            <w:tcW w:type="dxa" w:w="2880"/>
          </w:tcPr>
          <w:p>
            <w:r>
              <w:t>1.78%</w:t>
            </w:r>
          </w:p>
        </w:tc>
        <w:tc>
          <w:tcPr>
            <w:tcW w:type="dxa" w:w="2880"/>
          </w:tcPr>
          <w:p>
            <w:r>
              <w:t>2.07%</w:t>
            </w:r>
          </w:p>
        </w:tc>
      </w:tr>
      <w:tr>
        <w:tc>
          <w:tcPr>
            <w:tcW w:type="dxa" w:w="2880"/>
          </w:tcPr>
          <w:p>
            <w:r>
              <w:t>North America</w:t>
            </w:r>
          </w:p>
        </w:tc>
        <w:tc>
          <w:tcPr>
            <w:tcW w:type="dxa" w:w="2880"/>
          </w:tcPr>
          <w:p>
            <w:r>
              <w:t>35.65%</w:t>
            </w:r>
          </w:p>
        </w:tc>
        <w:tc>
          <w:tcPr>
            <w:tcW w:type="dxa" w:w="2880"/>
          </w:tcPr>
          <w:p>
            <w:r>
              <w:t>36.04%</w:t>
            </w:r>
          </w:p>
        </w:tc>
      </w:tr>
      <w:tr>
        <w:tc>
          <w:tcPr>
            <w:tcW w:type="dxa" w:w="2880"/>
          </w:tcPr>
          <w:p>
            <w:r>
              <w:t>South Asia</w:t>
            </w:r>
          </w:p>
        </w:tc>
        <w:tc>
          <w:tcPr>
            <w:tcW w:type="dxa" w:w="2880"/>
          </w:tcPr>
          <w:p>
            <w:r>
              <w:t>16.51%</w:t>
            </w:r>
          </w:p>
        </w:tc>
        <w:tc>
          <w:tcPr>
            <w:tcW w:type="dxa" w:w="2880"/>
          </w:tcPr>
          <w:p>
            <w:r>
              <w:t>17.51%</w:t>
            </w:r>
          </w:p>
        </w:tc>
      </w:tr>
      <w:tr>
        <w:tc>
          <w:tcPr>
            <w:tcW w:type="dxa" w:w="2880"/>
          </w:tcPr>
          <w:p>
            <w:r>
              <w:t>Sub-Saharan Africa</w:t>
            </w:r>
          </w:p>
        </w:tc>
        <w:tc>
          <w:tcPr>
            <w:tcW w:type="dxa" w:w="2880"/>
          </w:tcPr>
          <w:p>
            <w:r>
              <w:t>30.67%</w:t>
            </w:r>
          </w:p>
        </w:tc>
        <w:tc>
          <w:tcPr>
            <w:tcW w:type="dxa" w:w="2880"/>
          </w:tcPr>
          <w:p>
            <w:r>
              <w:t>28.79%</w:t>
            </w:r>
          </w:p>
        </w:tc>
      </w:tr>
      <w:tr>
        <w:tc>
          <w:tcPr>
            <w:tcW w:type="dxa" w:w="2880"/>
          </w:tcPr>
          <w:p>
            <w:r>
              <w:t>World</w:t>
            </w:r>
          </w:p>
        </w:tc>
        <w:tc>
          <w:tcPr>
            <w:tcW w:type="dxa" w:w="2880"/>
          </w:tcPr>
          <w:p>
            <w:r>
              <w:t>32.42%</w:t>
            </w:r>
          </w:p>
        </w:tc>
        <w:tc>
          <w:tcPr>
            <w:tcW w:type="dxa" w:w="2880"/>
          </w:tcPr>
          <w:p>
            <w:r>
              <w:t>31.38%</w:t>
            </w:r>
          </w:p>
        </w:tc>
      </w:tr>
    </w:tbl>
    <w:p>
      <w:r>
        <w:t>Only two non-world regions saw their forest share decline from 1990 to 2016: Latin America &amp; Caribbean fell from 51.03% to 46.16%, and Sub-Saharan Africa fell from 30.67% to 28.79%.</w:t>
      </w:r>
    </w:p>
    <w:p>
      <w:pPr>
        <w:pStyle w:val="Heading1"/>
      </w:pPr>
      <w:r>
        <w:t>3. Country-Level Detail</w:t>
      </w:r>
    </w:p>
    <w:p>
      <w:pPr>
        <w:pStyle w:val="Heading2"/>
      </w:pPr>
      <w:r>
        <w:t>Success Stories</w:t>
      </w:r>
    </w:p>
    <w:p>
      <w:r>
        <w:t>The strongest positive outlier in the dataset is China, which increased its forest area by 527,229.06 sq km between 1990 and 2016. The next-largest gain came from Sudan at 190,355.29 sq km.</w:t>
      </w:r>
    </w:p>
    <w:p>
      <w:r>
        <w:t>When the analysis shifts from absolute change to percent change, the leader is Iceland, which increased forest area by 213.66%.</w:t>
      </w:r>
    </w:p>
    <w:p>
      <w:pPr>
        <w:pStyle w:val="Heading2"/>
      </w:pPr>
      <w:r>
        <w:t>Largest Concerns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Country</w:t>
            </w:r>
          </w:p>
        </w:tc>
        <w:tc>
          <w:tcPr>
            <w:tcW w:type="dxa" w:w="2880"/>
          </w:tcPr>
          <w:p>
            <w:r>
              <w:t>Region</w:t>
            </w:r>
          </w:p>
        </w:tc>
        <w:tc>
          <w:tcPr>
            <w:tcW w:type="dxa" w:w="2880"/>
          </w:tcPr>
          <w:p>
            <w:r>
              <w:t>Forest Area Decrease</w:t>
            </w:r>
          </w:p>
        </w:tc>
      </w:tr>
      <w:tr>
        <w:tc>
          <w:tcPr>
            <w:tcW w:type="dxa" w:w="2880"/>
          </w:tcPr>
          <w:p>
            <w:r>
              <w:t>Brazil</w:t>
            </w:r>
          </w:p>
        </w:tc>
        <w:tc>
          <w:tcPr>
            <w:tcW w:type="dxa" w:w="2880"/>
          </w:tcPr>
          <w:p>
            <w:r>
              <w:t>Latin America &amp; Caribbean</w:t>
            </w:r>
          </w:p>
        </w:tc>
        <w:tc>
          <w:tcPr>
            <w:tcW w:type="dxa" w:w="2880"/>
          </w:tcPr>
          <w:p>
            <w:r>
              <w:t>541,510.00 sq km</w:t>
            </w:r>
          </w:p>
        </w:tc>
      </w:tr>
      <w:tr>
        <w:tc>
          <w:tcPr>
            <w:tcW w:type="dxa" w:w="2880"/>
          </w:tcPr>
          <w:p>
            <w:r>
              <w:t>Indonesia</w:t>
            </w:r>
          </w:p>
        </w:tc>
        <w:tc>
          <w:tcPr>
            <w:tcW w:type="dxa" w:w="2880"/>
          </w:tcPr>
          <w:p>
            <w:r>
              <w:t>East Asia &amp; Pacific</w:t>
            </w:r>
          </w:p>
        </w:tc>
        <w:tc>
          <w:tcPr>
            <w:tcW w:type="dxa" w:w="2880"/>
          </w:tcPr>
          <w:p>
            <w:r>
              <w:t>282,193.98 sq km</w:t>
            </w:r>
          </w:p>
        </w:tc>
      </w:tr>
      <w:tr>
        <w:tc>
          <w:tcPr>
            <w:tcW w:type="dxa" w:w="2880"/>
          </w:tcPr>
          <w:p>
            <w:r>
              <w:t>Myanmar</w:t>
            </w:r>
          </w:p>
        </w:tc>
        <w:tc>
          <w:tcPr>
            <w:tcW w:type="dxa" w:w="2880"/>
          </w:tcPr>
          <w:p>
            <w:r>
              <w:t>East Asia &amp; Pacific</w:t>
            </w:r>
          </w:p>
        </w:tc>
        <w:tc>
          <w:tcPr>
            <w:tcW w:type="dxa" w:w="2880"/>
          </w:tcPr>
          <w:p>
            <w:r>
              <w:t>107,234.00 sq km</w:t>
            </w:r>
          </w:p>
        </w:tc>
      </w:tr>
      <w:tr>
        <w:tc>
          <w:tcPr>
            <w:tcW w:type="dxa" w:w="2880"/>
          </w:tcPr>
          <w:p>
            <w:r>
              <w:t>Nigeria</w:t>
            </w:r>
          </w:p>
        </w:tc>
        <w:tc>
          <w:tcPr>
            <w:tcW w:type="dxa" w:w="2880"/>
          </w:tcPr>
          <w:p>
            <w:r>
              <w:t>Sub-Saharan Africa</w:t>
            </w:r>
          </w:p>
        </w:tc>
        <w:tc>
          <w:tcPr>
            <w:tcW w:type="dxa" w:w="2880"/>
          </w:tcPr>
          <w:p>
            <w:r>
              <w:t>106,506.00 sq km</w:t>
            </w:r>
          </w:p>
        </w:tc>
      </w:tr>
      <w:tr>
        <w:tc>
          <w:tcPr>
            <w:tcW w:type="dxa" w:w="2880"/>
          </w:tcPr>
          <w:p>
            <w:r>
              <w:t>Tanzania</w:t>
            </w:r>
          </w:p>
        </w:tc>
        <w:tc>
          <w:tcPr>
            <w:tcW w:type="dxa" w:w="2880"/>
          </w:tcPr>
          <w:p>
            <w:r>
              <w:t>Sub-Saharan Africa</w:t>
            </w:r>
          </w:p>
        </w:tc>
        <w:tc>
          <w:tcPr>
            <w:tcW w:type="dxa" w:w="2880"/>
          </w:tcPr>
          <w:p>
            <w:r>
              <w:t>102,320.00 sq km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Country</w:t>
            </w:r>
          </w:p>
        </w:tc>
        <w:tc>
          <w:tcPr>
            <w:tcW w:type="dxa" w:w="2880"/>
          </w:tcPr>
          <w:p>
            <w:r>
              <w:t>Region</w:t>
            </w:r>
          </w:p>
        </w:tc>
        <w:tc>
          <w:tcPr>
            <w:tcW w:type="dxa" w:w="2880"/>
          </w:tcPr>
          <w:p>
            <w:r>
              <w:t>Pct Forest Area Decrease</w:t>
            </w:r>
          </w:p>
        </w:tc>
      </w:tr>
      <w:tr>
        <w:tc>
          <w:tcPr>
            <w:tcW w:type="dxa" w:w="2880"/>
          </w:tcPr>
          <w:p>
            <w:r>
              <w:t>St. Martin (French part)</w:t>
            </w:r>
          </w:p>
        </w:tc>
        <w:tc>
          <w:tcPr>
            <w:tcW w:type="dxa" w:w="2880"/>
          </w:tcPr>
          <w:p>
            <w:r>
              <w:t>Latin America &amp; Caribbean</w:t>
            </w:r>
          </w:p>
        </w:tc>
        <w:tc>
          <w:tcPr>
            <w:tcW w:type="dxa" w:w="2880"/>
          </w:tcPr>
          <w:p>
            <w:r>
              <w:t>100.00%</w:t>
            </w:r>
          </w:p>
        </w:tc>
      </w:tr>
      <w:tr>
        <w:tc>
          <w:tcPr>
            <w:tcW w:type="dxa" w:w="2880"/>
          </w:tcPr>
          <w:p>
            <w:r>
              <w:t>Togo</w:t>
            </w:r>
          </w:p>
        </w:tc>
        <w:tc>
          <w:tcPr>
            <w:tcW w:type="dxa" w:w="2880"/>
          </w:tcPr>
          <w:p>
            <w:r>
              <w:t>Sub-Saharan Africa</w:t>
            </w:r>
          </w:p>
        </w:tc>
        <w:tc>
          <w:tcPr>
            <w:tcW w:type="dxa" w:w="2880"/>
          </w:tcPr>
          <w:p>
            <w:r>
              <w:t>75.45%</w:t>
            </w:r>
          </w:p>
        </w:tc>
      </w:tr>
      <w:tr>
        <w:tc>
          <w:tcPr>
            <w:tcW w:type="dxa" w:w="2880"/>
          </w:tcPr>
          <w:p>
            <w:r>
              <w:t>Nigeria</w:t>
            </w:r>
          </w:p>
        </w:tc>
        <w:tc>
          <w:tcPr>
            <w:tcW w:type="dxa" w:w="2880"/>
          </w:tcPr>
          <w:p>
            <w:r>
              <w:t>Sub-Saharan Africa</w:t>
            </w:r>
          </w:p>
        </w:tc>
        <w:tc>
          <w:tcPr>
            <w:tcW w:type="dxa" w:w="2880"/>
          </w:tcPr>
          <w:p>
            <w:r>
              <w:t>61.80%</w:t>
            </w:r>
          </w:p>
        </w:tc>
      </w:tr>
      <w:tr>
        <w:tc>
          <w:tcPr>
            <w:tcW w:type="dxa" w:w="2880"/>
          </w:tcPr>
          <w:p>
            <w:r>
              <w:t>Uganda</w:t>
            </w:r>
          </w:p>
        </w:tc>
        <w:tc>
          <w:tcPr>
            <w:tcW w:type="dxa" w:w="2880"/>
          </w:tcPr>
          <w:p>
            <w:r>
              <w:t>Sub-Saharan Africa</w:t>
            </w:r>
          </w:p>
        </w:tc>
        <w:tc>
          <w:tcPr>
            <w:tcW w:type="dxa" w:w="2880"/>
          </w:tcPr>
          <w:p>
            <w:r>
              <w:t>59.13%</w:t>
            </w:r>
          </w:p>
        </w:tc>
      </w:tr>
      <w:tr>
        <w:tc>
          <w:tcPr>
            <w:tcW w:type="dxa" w:w="2880"/>
          </w:tcPr>
          <w:p>
            <w:r>
              <w:t>Mauritania</w:t>
            </w:r>
          </w:p>
        </w:tc>
        <w:tc>
          <w:tcPr>
            <w:tcW w:type="dxa" w:w="2880"/>
          </w:tcPr>
          <w:p>
            <w:r>
              <w:t>Sub-Saharan Africa</w:t>
            </w:r>
          </w:p>
        </w:tc>
        <w:tc>
          <w:tcPr>
            <w:tcW w:type="dxa" w:w="2880"/>
          </w:tcPr>
          <w:p>
            <w:r>
              <w:t>46.75%</w:t>
            </w:r>
          </w:p>
        </w:tc>
      </w:tr>
    </w:tbl>
    <w:p>
      <w:r>
        <w:t>Four of the top five countries by percent forest loss are in Sub-Saharan Africa: Togo, Nigeria, Uganda, and Mauritania. The fifth is St. Martin (French part) in Latin America &amp; Caribbean.</w:t>
      </w:r>
    </w:p>
    <w:p>
      <w:r>
        <w:t>Nigeria is the only country that appears in the top five for both absolute loss and percent loss.</w:t>
      </w:r>
    </w:p>
    <w:p>
      <w:pPr>
        <w:pStyle w:val="Heading2"/>
      </w:pPr>
      <w:r>
        <w:t>Quartiles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Quartile</w:t>
            </w:r>
          </w:p>
        </w:tc>
        <w:tc>
          <w:tcPr>
            <w:tcW w:type="dxa" w:w="4320"/>
          </w:tcPr>
          <w:p>
            <w:r>
              <w:t>Number of Countries</w:t>
            </w:r>
          </w:p>
        </w:tc>
      </w:tr>
      <w:tr>
        <w:tc>
          <w:tcPr>
            <w:tcW w:type="dxa" w:w="4320"/>
          </w:tcPr>
          <w:p>
            <w:r>
              <w:t>1st quartile (0%-25%)</w:t>
            </w:r>
          </w:p>
        </w:tc>
        <w:tc>
          <w:tcPr>
            <w:tcW w:type="dxa" w:w="4320"/>
          </w:tcPr>
          <w:p>
            <w:r>
              <w:t>96</w:t>
            </w:r>
          </w:p>
        </w:tc>
      </w:tr>
      <w:tr>
        <w:tc>
          <w:tcPr>
            <w:tcW w:type="dxa" w:w="4320"/>
          </w:tcPr>
          <w:p>
            <w:r>
              <w:t>2nd quartile (25%-50%)</w:t>
            </w:r>
          </w:p>
        </w:tc>
        <w:tc>
          <w:tcPr>
            <w:tcW w:type="dxa" w:w="4320"/>
          </w:tcPr>
          <w:p>
            <w:r>
              <w:t>72</w:t>
            </w:r>
          </w:p>
        </w:tc>
      </w:tr>
      <w:tr>
        <w:tc>
          <w:tcPr>
            <w:tcW w:type="dxa" w:w="4320"/>
          </w:tcPr>
          <w:p>
            <w:r>
              <w:t>3rd quartile (50%-75%)</w:t>
            </w:r>
          </w:p>
        </w:tc>
        <w:tc>
          <w:tcPr>
            <w:tcW w:type="dxa" w:w="4320"/>
          </w:tcPr>
          <w:p>
            <w:r>
              <w:t>38</w:t>
            </w:r>
          </w:p>
        </w:tc>
      </w:tr>
      <w:tr>
        <w:tc>
          <w:tcPr>
            <w:tcW w:type="dxa" w:w="4320"/>
          </w:tcPr>
          <w:p>
            <w:r>
              <w:t>4th quartile (&gt;75%)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>
      <w:r>
        <w:t>The largest number of countries in 2016 were in the 1st quartile (0%-25%).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Country</w:t>
            </w:r>
          </w:p>
        </w:tc>
        <w:tc>
          <w:tcPr>
            <w:tcW w:type="dxa" w:w="2880"/>
          </w:tcPr>
          <w:p>
            <w:r>
              <w:t>Region</w:t>
            </w:r>
          </w:p>
        </w:tc>
        <w:tc>
          <w:tcPr>
            <w:tcW w:type="dxa" w:w="2880"/>
          </w:tcPr>
          <w:p>
            <w:r>
              <w:t>Pct Designated as Forest</w:t>
            </w:r>
          </w:p>
        </w:tc>
      </w:tr>
      <w:tr>
        <w:tc>
          <w:tcPr>
            <w:tcW w:type="dxa" w:w="2880"/>
          </w:tcPr>
          <w:p>
            <w:r>
              <w:t>Suriname</w:t>
            </w:r>
          </w:p>
        </w:tc>
        <w:tc>
          <w:tcPr>
            <w:tcW w:type="dxa" w:w="2880"/>
          </w:tcPr>
          <w:p>
            <w:r>
              <w:t>Latin America &amp; Caribbean</w:t>
            </w:r>
          </w:p>
        </w:tc>
        <w:tc>
          <w:tcPr>
            <w:tcW w:type="dxa" w:w="2880"/>
          </w:tcPr>
          <w:p>
            <w:r>
              <w:t>98.26%</w:t>
            </w:r>
          </w:p>
        </w:tc>
      </w:tr>
      <w:tr>
        <w:tc>
          <w:tcPr>
            <w:tcW w:type="dxa" w:w="2880"/>
          </w:tcPr>
          <w:p>
            <w:r>
              <w:t>Micronesia, Fed. Sts.</w:t>
            </w:r>
          </w:p>
        </w:tc>
        <w:tc>
          <w:tcPr>
            <w:tcW w:type="dxa" w:w="2880"/>
          </w:tcPr>
          <w:p>
            <w:r>
              <w:t>East Asia &amp; Pacific</w:t>
            </w:r>
          </w:p>
        </w:tc>
        <w:tc>
          <w:tcPr>
            <w:tcW w:type="dxa" w:w="2880"/>
          </w:tcPr>
          <w:p>
            <w:r>
              <w:t>91.86%</w:t>
            </w:r>
          </w:p>
        </w:tc>
      </w:tr>
      <w:tr>
        <w:tc>
          <w:tcPr>
            <w:tcW w:type="dxa" w:w="2880"/>
          </w:tcPr>
          <w:p>
            <w:r>
              <w:t>Gabon</w:t>
            </w:r>
          </w:p>
        </w:tc>
        <w:tc>
          <w:tcPr>
            <w:tcW w:type="dxa" w:w="2880"/>
          </w:tcPr>
          <w:p>
            <w:r>
              <w:t>Sub-Saharan Africa</w:t>
            </w:r>
          </w:p>
        </w:tc>
        <w:tc>
          <w:tcPr>
            <w:tcW w:type="dxa" w:w="2880"/>
          </w:tcPr>
          <w:p>
            <w:r>
              <w:t>90.04%</w:t>
            </w:r>
          </w:p>
        </w:tc>
      </w:tr>
      <w:tr>
        <w:tc>
          <w:tcPr>
            <w:tcW w:type="dxa" w:w="2880"/>
          </w:tcPr>
          <w:p>
            <w:r>
              <w:t>Seychelles</w:t>
            </w:r>
          </w:p>
        </w:tc>
        <w:tc>
          <w:tcPr>
            <w:tcW w:type="dxa" w:w="2880"/>
          </w:tcPr>
          <w:p>
            <w:r>
              <w:t>Sub-Saharan Africa</w:t>
            </w:r>
          </w:p>
        </w:tc>
        <w:tc>
          <w:tcPr>
            <w:tcW w:type="dxa" w:w="2880"/>
          </w:tcPr>
          <w:p>
            <w:r>
              <w:t>88.41%</w:t>
            </w:r>
          </w:p>
        </w:tc>
      </w:tr>
      <w:tr>
        <w:tc>
          <w:tcPr>
            <w:tcW w:type="dxa" w:w="2880"/>
          </w:tcPr>
          <w:p>
            <w:r>
              <w:t>Palau</w:t>
            </w:r>
          </w:p>
        </w:tc>
        <w:tc>
          <w:tcPr>
            <w:tcW w:type="dxa" w:w="2880"/>
          </w:tcPr>
          <w:p>
            <w:r>
              <w:t>East Asia &amp; Pacific</w:t>
            </w:r>
          </w:p>
        </w:tc>
        <w:tc>
          <w:tcPr>
            <w:tcW w:type="dxa" w:w="2880"/>
          </w:tcPr>
          <w:p>
            <w:r>
              <w:t>87.61%</w:t>
            </w:r>
          </w:p>
        </w:tc>
      </w:tr>
      <w:tr>
        <w:tc>
          <w:tcPr>
            <w:tcW w:type="dxa" w:w="2880"/>
          </w:tcPr>
          <w:p>
            <w:r>
              <w:t>American Samoa</w:t>
            </w:r>
          </w:p>
        </w:tc>
        <w:tc>
          <w:tcPr>
            <w:tcW w:type="dxa" w:w="2880"/>
          </w:tcPr>
          <w:p>
            <w:r>
              <w:t>East Asia &amp; Pacific</w:t>
            </w:r>
          </w:p>
        </w:tc>
        <w:tc>
          <w:tcPr>
            <w:tcW w:type="dxa" w:w="2880"/>
          </w:tcPr>
          <w:p>
            <w:r>
              <w:t>87.50%</w:t>
            </w:r>
          </w:p>
        </w:tc>
      </w:tr>
      <w:tr>
        <w:tc>
          <w:tcPr>
            <w:tcW w:type="dxa" w:w="2880"/>
          </w:tcPr>
          <w:p>
            <w:r>
              <w:t>Guyana</w:t>
            </w:r>
          </w:p>
        </w:tc>
        <w:tc>
          <w:tcPr>
            <w:tcW w:type="dxa" w:w="2880"/>
          </w:tcPr>
          <w:p>
            <w:r>
              <w:t>Latin America &amp; Caribbean</w:t>
            </w:r>
          </w:p>
        </w:tc>
        <w:tc>
          <w:tcPr>
            <w:tcW w:type="dxa" w:w="2880"/>
          </w:tcPr>
          <w:p>
            <w:r>
              <w:t>83.90%</w:t>
            </w:r>
          </w:p>
        </w:tc>
      </w:tr>
      <w:tr>
        <w:tc>
          <w:tcPr>
            <w:tcW w:type="dxa" w:w="2880"/>
          </w:tcPr>
          <w:p>
            <w:r>
              <w:t>Lao PDR</w:t>
            </w:r>
          </w:p>
        </w:tc>
        <w:tc>
          <w:tcPr>
            <w:tcW w:type="dxa" w:w="2880"/>
          </w:tcPr>
          <w:p>
            <w:r>
              <w:t>East Asia &amp; Pacific</w:t>
            </w:r>
          </w:p>
        </w:tc>
        <w:tc>
          <w:tcPr>
            <w:tcW w:type="dxa" w:w="2880"/>
          </w:tcPr>
          <w:p>
            <w:r>
              <w:t>82.11%</w:t>
            </w:r>
          </w:p>
        </w:tc>
      </w:tr>
      <w:tr>
        <w:tc>
          <w:tcPr>
            <w:tcW w:type="dxa" w:w="2880"/>
          </w:tcPr>
          <w:p>
            <w:r>
              <w:t>Solomon Islands</w:t>
            </w:r>
          </w:p>
        </w:tc>
        <w:tc>
          <w:tcPr>
            <w:tcW w:type="dxa" w:w="2880"/>
          </w:tcPr>
          <w:p>
            <w:r>
              <w:t>East Asia &amp; Pacific</w:t>
            </w:r>
          </w:p>
        </w:tc>
        <w:tc>
          <w:tcPr>
            <w:tcW w:type="dxa" w:w="2880"/>
          </w:tcPr>
          <w:p>
            <w:r>
              <w:t>77.86%</w:t>
            </w:r>
          </w:p>
        </w:tc>
      </w:tr>
    </w:tbl>
    <w:p>
      <w:r>
        <w:t>In 2016, 94 countries had a higher forestation percentage than the United States.</w:t>
      </w:r>
    </w:p>
    <w:p>
      <w:pPr>
        <w:pStyle w:val="Heading1"/>
      </w:pPr>
      <w:r>
        <w:t>4. Recommendations</w:t>
      </w:r>
    </w:p>
    <w:p>
      <w:r>
        <w:t>ForestQuery should prioritize intervention and partnership opportunities in Brazil, Indonesia, Nigeria, and Tanzania. These countries combine large-scale forest loss with severe local risk.</w:t>
      </w:r>
    </w:p>
    <w:p>
      <w:r>
        <w:t>The regional pattern also points to sustained attention in Latin America &amp; Caribbean and Sub-Saharan Africa, the only two non-world regions that lost forest share from 1990 to 2016.</w:t>
      </w:r>
    </w:p>
    <w:p>
      <w:r>
        <w:t>ForestQuery should also study positive outliers such as China and Iceland to identify conservation or restoration strategies worth adapting elsewhere.</w:t>
      </w:r>
    </w:p>
    <w:p>
      <w:pPr>
        <w:pStyle w:val="Heading1"/>
      </w:pPr>
      <w:r>
        <w:t>5. Appendix: SQL Queries Used</w:t>
      </w:r>
    </w:p>
    <w:p>
      <w:r>
        <w:t>See forest_query_analysis.sql for the full SQL appendix.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