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was successfully preprocessed with label encoding, feature scaling, and cyclical time features.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 reduced dimensionality while preserving variance, making the dataset more efficient for modeling.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grouped cryptocurrencies into volatility categories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</w:t>
      </w:r>
      <w:r w:rsidDel="00000000" w:rsidR="00000000" w:rsidRPr="00000000">
        <w:rPr>
          <w:rtl w:val="0"/>
        </w:rPr>
        <w:t xml:space="preserve">), which were then mapped for interpretation.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Performance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 ~99% (0.9899)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Precision/Recall/F1</w:t>
      </w:r>
      <w:r w:rsidDel="00000000" w:rsidR="00000000" w:rsidRPr="00000000">
        <w:rPr>
          <w:rtl w:val="0"/>
        </w:rPr>
        <w:t xml:space="preserve">: All classes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</w:t>
      </w:r>
      <w:r w:rsidDel="00000000" w:rsidR="00000000" w:rsidRPr="00000000">
        <w:rPr>
          <w:rtl w:val="0"/>
        </w:rPr>
        <w:t xml:space="preserve">) achieved scores between 0.98–0.99.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 and Weighted Averages</w:t>
      </w:r>
      <w:r w:rsidDel="00000000" w:rsidR="00000000" w:rsidRPr="00000000">
        <w:rPr>
          <w:rtl w:val="0"/>
        </w:rPr>
        <w:t xml:space="preserve">: Both ~0.99, indicating balanced performance across categories despite class size differences.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is highly reliable, consistently identifying volatility levels with near‑perfect accuracy.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lower performance for the “medium” class suggests it is marginally harder to distinguish, but results remain strong.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sample size for “low” volatility contributed to very stable predictions.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