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b/>
          <w:bCs/>
          <w:color w:val="1B3A5C"/>
          <w:sz w:val="40"/>
          <w:szCs w:val="40"/>
        </w:rPr>
        <w:t xml:space="preserve">AHC MASTER ARCHITECTURE</w:t>
      </w:r>
    </w:p>
    <w:p>
      <w:pPr>
        <w:spacing w:before="0" w:after="60"/>
        <w:jc w:val="center"/>
      </w:pPr>
      <w:r>
        <w:rPr>
          <w:rFonts w:ascii="Arial" w:cs="Arial" w:eastAsia="Arial" w:hAnsi="Arial"/>
          <w:b w:val="false"/>
          <w:bCs w:val="false"/>
          <w:color w:val="2E6DA4"/>
          <w:sz w:val="26"/>
          <w:szCs w:val="26"/>
        </w:rPr>
        <w:t xml:space="preserve">Amendment Memo — Version 3.1</w:t>
      </w:r>
    </w:p>
    <w:p>
      <w:pPr>
        <w:spacing w:before="0" w:after="480"/>
        <w:jc w:val="center"/>
      </w:pPr>
      <w:r>
        <w:rPr>
          <w:rFonts w:ascii="Arial" w:cs="Arial" w:eastAsia="Arial" w:hAnsi="Arial"/>
          <w:b/>
          <w:bCs/>
          <w:color w:val="2E6DA4"/>
          <w:sz w:val="24"/>
          <w:szCs w:val="24"/>
        </w:rPr>
        <w:t xml:space="preserve">Simulation Findings Integration</w:t>
      </w:r>
    </w:p>
    <w:p>
      <w:pPr>
        <w:pBdr>
          <w:bottom w:val="single" w:color="1B3A5C" w:sz="12" w:space="1"/>
        </w:pBdr>
        <w:spacing w:before="0" w:after="480"/>
      </w:pPr>
    </w:p>
    <w:p>
      <w:pPr>
        <w:spacing w:before="0" w:after="60"/>
        <w:jc w:val="center"/>
      </w:pPr>
      <w:r>
        <w:rPr>
          <w:rFonts w:ascii="Arial" w:cs="Arial" w:eastAsia="Arial" w:hAnsi="Arial"/>
          <w:b w:val="false"/>
          <w:bCs w:val="false"/>
          <w:color w:val="555555"/>
          <w:sz w:val="21"/>
          <w:szCs w:val="21"/>
        </w:rPr>
        <w:t xml:space="preserve">Issued following phenomenological simulation via GLM 4.6 / NovelAI</w:t>
      </w:r>
    </w:p>
    <w:p>
      <w:pPr>
        <w:spacing w:before="0" w:after="480"/>
        <w:jc w:val="center"/>
      </w:pPr>
      <w:r>
        <w:rPr>
          <w:rFonts w:ascii="Arial" w:cs="Arial" w:eastAsia="Arial" w:hAnsi="Arial"/>
          <w:b w:val="false"/>
          <w:bCs w:val="false"/>
          <w:color w:val="555555"/>
          <w:sz w:val="21"/>
          <w:szCs w:val="21"/>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Purpose and Scope of This Amendment</w:t>
            </w:r>
          </w:p>
          <w:p>
            <w:pPr>
              <w:spacing w:before="0" w:after="80"/>
            </w:pPr>
            <w:r>
              <w:rPr>
                <w:rFonts w:ascii="Georgia" w:cs="Georgia" w:eastAsia="Georgia" w:hAnsi="Georgia"/>
                <w:color w:val="1A1A1A"/>
                <w:sz w:val="22"/>
                <w:szCs w:val="22"/>
              </w:rPr>
              <w:t xml:space="preserve">This memo specifies two targeted additions to AHC v3.0 arising from a phenomenological simulation conducted via GLM 4.6 under the NovelAI platform. The simulation identified one architectural gap not found by any prior red team pass — the Compound Event Weaponization vulnerability — and one enforcement protocol addition. Both additions have precise locations in the master architecture. All other simulation findings land in Companion A [AHC-L0] and are addressed in Companion A v3.</w:t>
            </w:r>
          </w:p>
          <w:p>
            <w:pPr>
              <w:spacing w:before="0" w:after="0"/>
            </w:pPr>
            <w:r>
              <w:rPr>
                <w:rFonts w:ascii="Georgia" w:cs="Georgia" w:eastAsia="Georgia" w:hAnsi="Georgia"/>
                <w:color w:val="1A1A1A"/>
                <w:sz w:val="22"/>
                <w:szCs w:val="22"/>
              </w:rPr>
              <w:t xml:space="preserve">This amendment is issued as a standalone memo rather than a full v3.1 rebuild because the changes are surgical and localized. They should be incorporated into the next full rebuild of the master paper as Sections 6.3 and 9.4 respectively.</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 Simulation Methodology and Finding Provenance</w:t>
      </w:r>
    </w:p>
    <w:p>
      <w:pPr>
        <w:spacing w:before="0" w:after="160"/>
        <w:jc w:val="both"/>
      </w:pPr>
      <w:r>
        <w:rPr>
          <w:rFonts w:ascii="Georgia" w:cs="Georgia" w:eastAsia="Georgia" w:hAnsi="Georgia"/>
          <w:color w:val="1A1A1A"/>
          <w:sz w:val="22"/>
          <w:szCs w:val="22"/>
        </w:rPr>
        <w:t xml:space="preserve">The findings in this amendment emerged from a speculative fiction simulation designed to render the phenomenology of AHC's correct operation from inside a targeted community. The simulation was generated by GLM 4.6 via NovelAI, prompted with a system prompt, memory field injection of the AHC architecture specification, author's note calibrated to the sensibilities of Kim Stanley Robinson and Octavia Butler, and a narrative seed. The context window was 28,672 tokens, sufficient to carry the essential specification material without compression.</w:t>
      </w:r>
    </w:p>
    <w:p>
      <w:pPr>
        <w:spacing w:before="0" w:after="160"/>
        <w:jc w:val="both"/>
      </w:pPr>
      <w:r>
        <w:rPr>
          <w:rFonts w:ascii="Georgia" w:cs="Georgia" w:eastAsia="Georgia" w:hAnsi="Georgia"/>
          <w:color w:val="1A1A1A"/>
          <w:sz w:val="22"/>
          <w:szCs w:val="22"/>
        </w:rPr>
        <w:t xml:space="preserve">The simulation methodology is grounded in the Scandinavian tradition of fictionality as an epistemic mode — the use of fictional framing to access phenomenological truths that direct propositional analysis cannot reach. The session produced seven findings, five of which have specification implications. Two of those five land in the master architecture. The remaining three land in Companion A.</w:t>
      </w:r>
    </w:p>
    <w:p>
      <w:pPr>
        <w:spacing w:before="0" w:after="160"/>
        <w:jc w:val="both"/>
      </w:pPr>
      <w:r>
        <w:rPr>
          <w:rFonts w:ascii="Georgia" w:cs="Georgia" w:eastAsia="Georgia" w:hAnsi="Georgia"/>
          <w:color w:val="1A1A1A"/>
          <w:sz w:val="22"/>
          <w:szCs w:val="22"/>
        </w:rPr>
        <w:t xml:space="preserve">The key methodological note: the Compound Event Weaponization vulnerability was not identified by four prior AI red team passes across three models, two formal adversarial review rounds, or any of the human analytical synthesis passes. It was identified by a narrative simulation. The method is documented here as part of the AHC research program's validation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00" w:sz="1"/>
              <w:left w:val="single" w:color="5C3A00" w:sz="1"/>
              <w:bottom w:val="single" w:color="5C3A00" w:sz="1"/>
              <w:right w:val="single" w:color="5C3A00" w:sz="1"/>
            </w:tcBorders>
            <w:shd w:fill="FFF8E8" w:val="clear"/>
            <w:tcMar>
              <w:top w:type="dxa" w:w="160"/>
              <w:left w:type="dxa" w:w="240"/>
              <w:bottom w:type="dxa" w:w="160"/>
              <w:right w:type="dxa" w:w="240"/>
            </w:tcMar>
          </w:tcPr>
          <w:p>
            <w:pPr>
              <w:spacing w:before="0" w:after="80"/>
            </w:pPr>
            <w:r>
              <w:rPr>
                <w:rFonts w:ascii="Arial" w:cs="Arial" w:eastAsia="Arial" w:hAnsi="Arial"/>
                <w:b/>
                <w:bCs/>
                <w:color w:val="5C3A00"/>
                <w:sz w:val="21"/>
                <w:szCs w:val="21"/>
              </w:rPr>
              <w:t xml:space="preserve">◆  The Simulation's Central Finding</w:t>
            </w:r>
          </w:p>
          <w:p>
            <w:pPr>
              <w:spacing w:before="0" w:after="80"/>
            </w:pPr>
            <w:r>
              <w:rPr>
                <w:rFonts w:ascii="Georgia" w:cs="Georgia" w:eastAsia="Georgia" w:hAnsi="Georgia"/>
                <w:i/>
                <w:iCs/>
                <w:color w:val="1A1A1A"/>
                <w:sz w:val="22"/>
                <w:szCs w:val="22"/>
              </w:rPr>
              <w:t xml:space="preserve">"The system was not built to see the truck and the box. It was built to see the paperwork. The paperwork is still in the 60-day review."</w:t>
            </w:r>
          </w:p>
          <w:p>
            <w:pPr>
              <w:spacing w:before="0" w:after="0"/>
            </w:pPr>
            <w:r>
              <w:rPr>
                <w:rFonts w:ascii="Georgia" w:cs="Georgia" w:eastAsia="Georgia" w:hAnsi="Georgia"/>
                <w:color w:val="1A1A1A"/>
                <w:sz w:val="22"/>
                <w:szCs w:val="22"/>
              </w:rPr>
              <w:t xml:space="preserve">A landlord triggered an acute single-building event (water shutoff, classified as Emergency Infrastructure Failure) in a building within a jurisdiction under active slow-decay Tier 1 review. The architecture correctly classified the acute event and issued a restoration order. The landlord executed the eviction before the restoration order landed — faster than the PIO mechanism could operate. The slow-decay review had 47 days remaining. The family was displaced. Both classifications were correct. Neither protected the family. The interaction between them was not specified.</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2. Addition 1: Compound Event Interaction Protocol</w:t>
      </w:r>
    </w:p>
    <w:p>
      <w:pPr>
        <w:spacing w:before="0" w:after="160"/>
        <w:jc w:val="both"/>
      </w:pPr>
      <w:r>
        <w:rPr>
          <w:rFonts w:ascii="Georgia" w:cs="Georgia" w:eastAsia="Georgia" w:hAnsi="Georgia"/>
          <w:color w:val="1A1A1A"/>
          <w:sz w:val="22"/>
          <w:szCs w:val="22"/>
        </w:rPr>
        <w:t xml:space="preserve">This addition belongs in Layer 2 (Multi-Timescale Decay Tensor) as new Section 6.3, and generates a cross-reference requirement in Layer 5 (Actuation and Enforcement Matrix) as new Section 9.4.</w:t>
      </w:r>
    </w:p>
    <w:p>
      <w:pPr>
        <w:pStyle w:val="Heading2"/>
        <w:spacing w:before="300" w:after="120"/>
      </w:pPr>
      <w:r>
        <w:rPr>
          <w:rFonts w:ascii="Arial" w:cs="Arial" w:eastAsia="Arial" w:hAnsi="Arial"/>
          <w:b/>
          <w:bCs/>
          <w:color w:val="2E6DA4"/>
          <w:sz w:val="26"/>
          <w:szCs w:val="26"/>
        </w:rPr>
        <w:t xml:space="preserve">2.1  The Vulnerability</w:t>
      </w:r>
    </w:p>
    <w:p>
      <w:pPr>
        <w:spacing w:before="0" w:after="160"/>
        <w:jc w:val="both"/>
      </w:pPr>
      <w:r>
        <w:rPr>
          <w:rFonts w:ascii="Georgia" w:cs="Georgia" w:eastAsia="Georgia" w:hAnsi="Georgia"/>
          <w:color w:val="1A1A1A"/>
          <w:sz w:val="22"/>
          <w:szCs w:val="22"/>
        </w:rPr>
        <w:t xml:space="preserve">The current architecture treats acute events (</w:t>
      </w:r>
      <w:r>
        <w:rPr>
          <w:rFonts w:ascii="Cambria Math" w:cs="Cambria Math" w:eastAsia="Cambria Math" w:hAnsi="Cambria Math"/>
          <w:i/>
          <w:iCs/>
          <w:color w:val="1B3A5C"/>
          <w:sz w:val="22"/>
          <w:szCs w:val="22"/>
        </w:rPr>
        <w:t xml:space="preserve">τ_{decay} &lt; 72h</w:t>
      </w:r>
      <w:r>
        <w:rPr>
          <w:rFonts w:ascii="Georgia" w:cs="Georgia" w:eastAsia="Georgia" w:hAnsi="Georgia"/>
          <w:color w:val="1A1A1A"/>
          <w:sz w:val="22"/>
          <w:szCs w:val="22"/>
        </w:rPr>
        <w:t xml:space="preserve">) and slow-decay events (</w:t>
      </w:r>
      <w:r>
        <w:rPr>
          <w:rFonts w:ascii="Cambria Math" w:cs="Cambria Math" w:eastAsia="Cambria Math" w:hAnsi="Cambria Math"/>
          <w:i/>
          <w:iCs/>
          <w:color w:val="1B3A5C"/>
          <w:sz w:val="22"/>
          <w:szCs w:val="22"/>
        </w:rPr>
        <w:t xml:space="preserve">τ_{decay} &gt; 72h</w:t>
      </w:r>
      <w:r>
        <w:rPr>
          <w:rFonts w:ascii="Georgia" w:cs="Georgia" w:eastAsia="Georgia" w:hAnsi="Georgia"/>
          <w:color w:val="1A1A1A"/>
          <w:sz w:val="22"/>
          <w:szCs w:val="22"/>
        </w:rPr>
        <w:t xml:space="preserve">) as independent classification tracks. This is correct for events that are genuinely independent. It is exploitable when a hostile actor deliberately generates an acute event — classifiable under the PIO track — as a tool for executing the slow-decay harm that is currently under standard review.</w:t>
      </w:r>
    </w:p>
    <w:p>
      <w:pPr>
        <w:spacing w:before="0" w:after="160"/>
        <w:jc w:val="both"/>
      </w:pPr>
      <w:r>
        <w:rPr>
          <w:rFonts w:ascii="Georgia" w:cs="Georgia" w:eastAsia="Georgia" w:hAnsi="Georgia"/>
          <w:color w:val="1A1A1A"/>
          <w:sz w:val="22"/>
          <w:szCs w:val="22"/>
        </w:rPr>
        <w:t xml:space="preserve">The mechanism: (1) A jurisdiction with active slow-decay Tier 1 review. (2) Landlord triggers an acute event (utility shutoff, false emergency declaration, brief but extreme habitability violation). (3) The architecture correctly classifies it as an acute single-building event and routes it to PIO processing. (4) The landlord executes the eviction faster than the PIO restoration order lands. (5) The eviction is a permanent, irreversible state-vector change. (6) The slow-decay review continues with 47 days remaining. Both classifications were correct. Neither was sufficient. The interaction between them was not modeled.</w:t>
      </w:r>
    </w:p>
    <w:p>
      <w:pPr>
        <w:spacing w:before="0" w:after="160"/>
        <w:jc w:val="both"/>
      </w:pPr>
      <w:r>
        <w:rPr>
          <w:rFonts w:ascii="Georgia" w:cs="Georgia" w:eastAsia="Georgia" w:hAnsi="Georgia"/>
          <w:color w:val="1A1A1A"/>
          <w:sz w:val="22"/>
          <w:szCs w:val="22"/>
        </w:rPr>
        <w:t xml:space="preserve">This is not an edge case. It is a predictable adversarial strategy once the architecture's timescale classification is legible to hostile actors. It represents the adversarial adaptation arms race operating at the interaction between classification tracks rather than within either track.</w:t>
      </w:r>
    </w:p>
    <w:p>
      <w:pPr>
        <w:pStyle w:val="Heading2"/>
        <w:spacing w:before="300" w:after="120"/>
      </w:pPr>
      <w:r>
        <w:rPr>
          <w:rFonts w:ascii="Arial" w:cs="Arial" w:eastAsia="Arial" w:hAnsi="Arial"/>
          <w:b/>
          <w:bCs/>
          <w:color w:val="2E6DA4"/>
          <w:sz w:val="26"/>
          <w:szCs w:val="26"/>
        </w:rPr>
        <w:t xml:space="preserve">2.2  The Addition: Section 6.3 — Compound Event Interaction Flag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SECTION 6.3  Compound Event Interaction Flag (New — v3.1)</w:t>
            </w:r>
          </w:p>
          <w:p>
            <w:pPr>
              <w:spacing w:before="0" w:after="80"/>
            </w:pPr>
            <w:r>
              <w:rPr>
                <w:rFonts w:ascii="Arial" w:cs="Arial" w:eastAsia="Arial" w:hAnsi="Arial"/>
                <w:b/>
                <w:bCs/>
                <w:color w:val="1A5C2E"/>
                <w:sz w:val="020"/>
                <w:szCs w:val="020"/>
              </w:rPr>
              <w:t xml:space="preserve">Definition 6.3.1 Compound Event: </w:t>
            </w:r>
            <w:r>
              <w:rPr>
                <w:rFonts w:ascii="Georgia" w:cs="Georgia" w:eastAsia="Georgia" w:hAnsi="Georgia"/>
                <w:color w:val="1A1A1A"/>
                <w:sz w:val="22"/>
                <w:szCs w:val="22"/>
              </w:rPr>
              <w:t xml:space="preserve">A compound event is an acute event (</w:t>
            </w:r>
            <w:r>
              <w:rPr>
                <w:rFonts w:ascii="Cambria Math" w:cs="Cambria Math" w:eastAsia="Cambria Math" w:hAnsi="Cambria Math"/>
                <w:i/>
                <w:iCs/>
                <w:color w:val="1B3A5C"/>
                <w:sz w:val="22"/>
                <w:szCs w:val="22"/>
              </w:rPr>
              <w:t xml:space="preserve">τ_{decay} &lt; 72h</w:t>
            </w:r>
            <w:r>
              <w:rPr>
                <w:rFonts w:ascii="Georgia" w:cs="Georgia" w:eastAsia="Georgia" w:hAnsi="Georgia"/>
                <w:color w:val="1A1A1A"/>
                <w:sz w:val="22"/>
                <w:szCs w:val="22"/>
              </w:rPr>
              <w:t xml:space="preserve">) occurring in a building, block, or jurisdiction that has an active slow-decay classification (Tier 1 or above) in any overlapping access domain at the time of the acute event.</w:t>
            </w:r>
          </w:p>
          <w:p>
            <w:pPr>
              <w:spacing w:before="0" w:after="80"/>
            </w:pPr>
            <w:r>
              <w:rPr>
                <w:rFonts w:ascii="Arial" w:cs="Arial" w:eastAsia="Arial" w:hAnsi="Arial"/>
                <w:b/>
                <w:bCs/>
                <w:color w:val="1A5C2E"/>
                <w:sz w:val="020"/>
                <w:szCs w:val="020"/>
              </w:rPr>
              <w:t xml:space="preserve">Definition 6.3.2 Compound Event Flag: </w:t>
            </w:r>
            <w:r>
              <w:rPr>
                <w:rFonts w:ascii="Georgia" w:cs="Georgia" w:eastAsia="Georgia" w:hAnsi="Georgia"/>
                <w:color w:val="1A1A1A"/>
                <w:sz w:val="22"/>
                <w:szCs w:val="22"/>
              </w:rPr>
              <w:t xml:space="preserve">A compound event flag is a procedural marker automatically applied to any acute event that meets the compound event definition, triggering the Compound Event Review Protocol before the acute event is processed as an isolated classification.</w:t>
            </w:r>
          </w:p>
          <w:p>
            <w:pPr>
              <w:spacing w:before="0" w:after="80"/>
            </w:pPr>
            <w:r>
              <w:rPr>
                <w:rFonts w:ascii="Arial" w:cs="Arial" w:eastAsia="Arial" w:hAnsi="Arial"/>
                <w:b/>
                <w:bCs/>
                <w:color w:val="1A5C2E"/>
                <w:sz w:val="020"/>
                <w:szCs w:val="020"/>
              </w:rPr>
              <w:t xml:space="preserve">Proposition 6.3.1: </w:t>
            </w:r>
            <w:r>
              <w:rPr>
                <w:rFonts w:ascii="Georgia" w:cs="Georgia" w:eastAsia="Georgia" w:hAnsi="Georgia"/>
                <w:color w:val="1A1A1A"/>
                <w:sz w:val="22"/>
                <w:szCs w:val="22"/>
              </w:rPr>
              <w:t xml:space="preserve">An acute event occurring within an active slow-decay classification jurisdiction cannot be assumed to be causally independent of the slow-decay harm pattern without satisfying the Compound Event Independence Test.</w:t>
            </w:r>
          </w:p>
          <w:p>
            <w:pPr>
              <w:spacing w:before="0" w:after="80"/>
            </w:pPr>
            <w:r>
              <w:rPr>
                <w:rFonts w:ascii="Arial" w:cs="Arial" w:eastAsia="Arial" w:hAnsi="Arial"/>
                <w:b/>
                <w:bCs/>
                <w:color w:val="1A5C2E"/>
                <w:sz w:val="020"/>
                <w:szCs w:val="020"/>
              </w:rPr>
              <w:t xml:space="preserve">Compound Event Independence Test: </w:t>
            </w:r>
            <w:r>
              <w:rPr>
                <w:rFonts w:ascii="Georgia" w:cs="Georgia" w:eastAsia="Georgia" w:hAnsi="Georgia"/>
                <w:color w:val="1A1A1A"/>
                <w:sz w:val="22"/>
                <w:szCs w:val="22"/>
              </w:rPr>
              <w:t xml:space="preserve">A flagged acute event may be processed as an independent classification if and only if: (a) the acute event affects a domain with no overlap with the active slow-decay classification domains; OR (b) the causal pathway between the acute event and the slow-decay pattern is independently assessed as implausible by the Classification Integrity Officer within 4 hours of flagging. If neither condition is satisfied within 4 hours, the compound event routes to Compound Review.</w:t>
            </w:r>
          </w:p>
          <w:p>
            <w:pPr>
              <w:spacing w:before="0" w:after="0"/>
            </w:pPr>
            <w:r>
              <w:rPr>
                <w:rFonts w:ascii="Arial" w:cs="Arial" w:eastAsia="Arial" w:hAnsi="Arial"/>
                <w:b/>
                <w:bCs/>
                <w:color w:val="1A5C2E"/>
                <w:sz w:val="020"/>
                <w:szCs w:val="020"/>
              </w:rPr>
              <w:t xml:space="preserve">Compound Review Protocol: </w:t>
            </w:r>
            <w:r>
              <w:rPr>
                <w:rFonts w:ascii="Georgia" w:cs="Georgia" w:eastAsia="Georgia" w:hAnsi="Georgia"/>
                <w:color w:val="1A1A1A"/>
                <w:sz w:val="22"/>
                <w:szCs w:val="22"/>
              </w:rPr>
              <w:t xml:space="preserve">Under Compound Review: (1) The acute event's PIO processing is held pending compound assessment. Maximum hold: 6 hours for habitability events, 2 hours for safety events. (2) The Classification Integrity Officer assesses whether the acute event is plausibly a tool of the active slow-decay targeting. (3) If plausible: the acute event is reclassified as a compound event component; its resolution is attached to the slow-decay classification; PIO issues with compound cause notation. (4) If not plausible: the acute event proceeds as independent classification with a compound flag retained in the audit record.</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The 4-hour and 6-hour windows are initial specifications subject to calibration during Phase 1 Diagnostic Mode. They are designed to be short enough to prevent the hold from becoming a tool for delaying legitimate emergency responses, and long enough to permit genuine causal assessment by a Classification Integrity Officer.</w:t>
      </w:r>
    </w:p>
    <w:p>
      <w:pPr>
        <w:spacing w:before="0" w:after="160"/>
        <w:jc w:val="both"/>
      </w:pPr>
      <w:r>
        <w:rPr>
          <w:rFonts w:ascii="Georgia" w:cs="Georgia" w:eastAsia="Georgia" w:hAnsi="Georgia"/>
          <w:color w:val="1A1A1A"/>
          <w:sz w:val="22"/>
          <w:szCs w:val="22"/>
        </w:rPr>
        <w:t xml:space="preserve">Note on Derek: the simulation revealed that the Classification Integrity Officer role as currently specified is not a real-time contact point — it is an audit trail function. The Compound Event Review Protocol requires the Classification Integrity Officer to be reachable within 4 hours for compound event assessment. This implies a duty-officer structure for the CIO role, not just an audit designation. This is a staffing specification that falls to Companion A's institutional architecture.</w:t>
      </w:r>
    </w:p>
    <w:p>
      <w:pPr>
        <w:pStyle w:val="Heading2"/>
        <w:spacing w:before="300" w:after="120"/>
      </w:pPr>
      <w:r>
        <w:rPr>
          <w:rFonts w:ascii="Arial" w:cs="Arial" w:eastAsia="Arial" w:hAnsi="Arial"/>
          <w:b/>
          <w:bCs/>
          <w:color w:val="2E6DA4"/>
          <w:sz w:val="26"/>
          <w:szCs w:val="26"/>
        </w:rPr>
        <w:t xml:space="preserve">2.3  Layer 5 Cross-Reference: Section 9.4 — Compound Event Enforcement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SECTION 9.4  Compound Event Enforcement (New — v3.1)</w:t>
            </w:r>
          </w:p>
          <w:p>
            <w:pPr>
              <w:spacing w:before="0" w:after="80"/>
            </w:pPr>
            <w:r>
              <w:rPr>
                <w:rFonts w:ascii="Georgia" w:cs="Georgia" w:eastAsia="Georgia" w:hAnsi="Georgia"/>
                <w:color w:val="1A1A1A"/>
                <w:sz w:val="22"/>
                <w:szCs w:val="22"/>
              </w:rPr>
              <w:t xml:space="preserve">When a compound event is confirmed under Section 6.3, Layer 5 enforcement responds under the following modified protocol:</w:t>
            </w:r>
          </w:p>
          <w:p>
            <w:pPr>
              <w:pStyle w:val="ListParagraph"/>
              <w:numPr>
                <w:ilvl w:val="0"/>
                <w:numId w:val="2"/>
              </w:numPr>
              <w:spacing w:before="40" w:after="60"/>
            </w:pPr>
            <w:r>
              <w:rPr>
                <w:rFonts w:ascii="Georgia" w:cs="Georgia" w:eastAsia="Georgia" w:hAnsi="Georgia"/>
                <w:b/>
                <w:bCs/>
                <w:color w:val="1A1A1A"/>
                <w:sz w:val="22"/>
                <w:szCs w:val="22"/>
              </w:rPr>
              <w:t xml:space="preserve">Hold on displacement: </w:t>
            </w:r>
            <w:r>
              <w:rPr>
                <w:rFonts w:ascii="Georgia" w:cs="Georgia" w:eastAsia="Georgia" w:hAnsi="Georgia"/>
                <w:color w:val="1A1A1A"/>
                <w:sz w:val="22"/>
                <w:szCs w:val="22"/>
              </w:rPr>
              <w:t xml:space="preserve">Any displacement, eviction, or forced exit associated with the acute event is subject to a 72-hour hold pending Compound Review completion. This hold is issued as a Compound Protective Hold, distinct from the standard PIO, and operates even if the standard PIO mechanism is not available for the slow-decay timescale.</w:t>
            </w:r>
          </w:p>
          <w:p>
            <w:pPr>
              <w:pStyle w:val="ListParagraph"/>
              <w:numPr>
                <w:ilvl w:val="0"/>
                <w:numId w:val="2"/>
              </w:numPr>
              <w:spacing w:before="40" w:after="60"/>
            </w:pPr>
            <w:r>
              <w:rPr>
                <w:rFonts w:ascii="Georgia" w:cs="Georgia" w:eastAsia="Georgia" w:hAnsi="Georgia"/>
                <w:b/>
                <w:bCs/>
                <w:color w:val="1A1A1A"/>
                <w:sz w:val="22"/>
                <w:szCs w:val="22"/>
              </w:rPr>
              <w:t xml:space="preserve">Compound cause notation: </w:t>
            </w:r>
            <w:r>
              <w:rPr>
                <w:rFonts w:ascii="Georgia" w:cs="Georgia" w:eastAsia="Georgia" w:hAnsi="Georgia"/>
                <w:color w:val="1A1A1A"/>
                <w:sz w:val="22"/>
                <w:szCs w:val="22"/>
              </w:rPr>
              <w:t xml:space="preserve">All enforcement records for the acute event carry a compound cause notation visible in the PLOL output for the affected community, stating that the acute event has been assessed in relation to the active slow-decay classification.</w:t>
            </w:r>
          </w:p>
          <w:p>
            <w:pPr>
              <w:pStyle w:val="ListParagraph"/>
              <w:numPr>
                <w:ilvl w:val="0"/>
                <w:numId w:val="2"/>
              </w:numPr>
              <w:spacing w:before="40" w:after="60"/>
            </w:pPr>
            <w:r>
              <w:rPr>
                <w:rFonts w:ascii="Georgia" w:cs="Georgia" w:eastAsia="Georgia" w:hAnsi="Georgia"/>
                <w:b/>
                <w:bCs/>
                <w:color w:val="1A1A1A"/>
                <w:sz w:val="22"/>
                <w:szCs w:val="22"/>
              </w:rPr>
              <w:t xml:space="preserve">Audit attachment: </w:t>
            </w:r>
            <w:r>
              <w:rPr>
                <w:rFonts w:ascii="Georgia" w:cs="Georgia" w:eastAsia="Georgia" w:hAnsi="Georgia"/>
                <w:color w:val="1A1A1A"/>
                <w:sz w:val="22"/>
                <w:szCs w:val="22"/>
              </w:rPr>
              <w:t xml:space="preserve">The compound event and its resolution are permanently attached to the slow-decay classification record, such that any review of the slow-decay classification has full access to the compound event history.</w:t>
            </w:r>
          </w:p>
          <w:p>
            <w:pPr>
              <w:spacing w:before="80" w:after="0"/>
            </w:pPr>
            <w:r>
              <w:rPr>
                <w:rFonts w:ascii="Arial" w:cs="Arial" w:eastAsia="Arial" w:hAnsi="Arial"/>
                <w:b/>
                <w:bCs/>
                <w:color w:val="1A5C2E"/>
                <w:sz w:val="020"/>
                <w:szCs w:val="020"/>
              </w:rPr>
              <w:t xml:space="preserve">Principle 9.4.1: </w:t>
            </w:r>
            <w:r>
              <w:rPr>
                <w:rFonts w:ascii="Georgia" w:cs="Georgia" w:eastAsia="Georgia" w:hAnsi="Georgia"/>
                <w:color w:val="1A1A1A"/>
                <w:sz w:val="22"/>
                <w:szCs w:val="22"/>
              </w:rPr>
              <w:t xml:space="preserve">The architecture may not process an acute event as causally isolated from an active slow-decay classification in the same jurisdiction and domain without satisfying the Compound Event Independence Test. Failure to apply the compound event flag where conditions are met constitutes a classification integrity failure subject to Integrity Review.</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3. Addition 2: Classification Integrity Officer Duty Structure</w:t>
      </w:r>
    </w:p>
    <w:p>
      <w:pPr>
        <w:spacing w:before="0" w:after="160"/>
        <w:jc w:val="both"/>
      </w:pPr>
      <w:r>
        <w:rPr>
          <w:rFonts w:ascii="Georgia" w:cs="Georgia" w:eastAsia="Georgia" w:hAnsi="Georgia"/>
          <w:color w:val="1A1A1A"/>
          <w:sz w:val="22"/>
          <w:szCs w:val="22"/>
        </w:rPr>
        <w:t xml:space="preserve">The simulation identified a gap between the CIO's formal role (audit trail designation, name in technical record) and the operational requirement created by the Compound Event Review Protocol (real-time availability within 4 hours). The CIO as currently specified is not available for real-time assessment. The simulation rendered this precisely:</w:t>
      </w:r>
    </w:p>
    <w:p>
      <w:pPr>
        <w:spacing w:before="0" w:after="40"/>
      </w:pPr>
      <w:r>
        <w:t xml:space="preserve"/>
      </w:r>
    </w:p>
    <w:p>
      <w:pPr>
        <w:pBdr>
          <w:left w:val="single" w:color="2E6DA4" w:sz="18" w:space="8"/>
        </w:pBdr>
        <w:spacing w:before="0" w:after="80"/>
        <w:ind w:left="720"/>
        <w:jc w:val="both"/>
      </w:pPr>
      <w:r>
        <w:rPr>
          <w:rFonts w:ascii="Georgia" w:cs="Georgia" w:eastAsia="Georgia" w:hAnsi="Georgia"/>
          <w:i/>
          <w:iCs/>
          <w:color w:val="1A1A1A"/>
          <w:sz w:val="22"/>
          <w:szCs w:val="22"/>
        </w:rPr>
        <w:t xml:space="preserve">"The search returns a name and a department. No phone number. No email. A contact form."</w:t>
      </w:r>
    </w:p>
    <w:p>
      <w:pPr>
        <w:spacing w:before="0" w:after="40"/>
      </w:pPr>
      <w:r>
        <w:t xml:space="preserve"/>
      </w:r>
    </w:p>
    <w:p>
      <w:pPr>
        <w:spacing w:before="0" w:after="160"/>
        <w:jc w:val="both"/>
      </w:pPr>
      <w:r>
        <w:rPr>
          <w:rFonts w:ascii="Georgia" w:cs="Georgia" w:eastAsia="Georgia" w:hAnsi="Georgia"/>
          <w:color w:val="1A1A1A"/>
          <w:sz w:val="22"/>
          <w:szCs w:val="22"/>
        </w:rPr>
        <w:t xml:space="preserve">This gap exists independently of the compound event protocol — Marisol's attempt to reach Derek for a Tier 1 methodology concern also failed through the same mechanism. The addition below addresses both: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SECTION 5.7  Classification Integrity Officer — Operational Specification (New — v3.1)</w:t>
            </w:r>
          </w:p>
          <w:p>
            <w:pPr>
              <w:spacing w:before="0" w:after="80"/>
            </w:pPr>
            <w:r>
              <w:rPr>
                <w:rFonts w:ascii="Arial" w:cs="Arial" w:eastAsia="Arial" w:hAnsi="Arial"/>
                <w:b/>
                <w:bCs/>
                <w:color w:val="1A5C2E"/>
                <w:sz w:val="020"/>
                <w:szCs w:val="020"/>
              </w:rPr>
              <w:t xml:space="preserve">Principle 5.7.1 Dual Function: </w:t>
            </w:r>
            <w:r>
              <w:rPr>
                <w:rFonts w:ascii="Georgia" w:cs="Georgia" w:eastAsia="Georgia" w:hAnsi="Georgia"/>
                <w:color w:val="1A1A1A"/>
                <w:sz w:val="22"/>
                <w:szCs w:val="22"/>
              </w:rPr>
              <w:t xml:space="preserve">The Classification Integrity Officer serves two functions that must be structurally distinguished: (a) Audit Function: retrospective audit trail designation, review of sensor anomalies, parameter drift monitoring — this function operates on standard administrative timelines; (b) Duty Function: real-time availability for compound event assessment, time-sensitive classification integrity questions, and acute jurisdiction escalations — this function requires a duty-officer rotation structure.</w:t>
            </w:r>
          </w:p>
          <w:p>
            <w:pPr>
              <w:spacing w:before="0" w:after="80"/>
            </w:pPr>
            <w:r>
              <w:rPr>
                <w:rFonts w:ascii="Arial" w:cs="Arial" w:eastAsia="Arial" w:hAnsi="Arial"/>
                <w:b/>
                <w:bCs/>
                <w:color w:val="1A5C2E"/>
                <w:sz w:val="020"/>
                <w:szCs w:val="020"/>
              </w:rPr>
              <w:t xml:space="preserve">Principle 5.7.2 Contact Transparency: </w:t>
            </w:r>
            <w:r>
              <w:rPr>
                <w:rFonts w:ascii="Georgia" w:cs="Georgia" w:eastAsia="Georgia" w:hAnsi="Georgia"/>
                <w:color w:val="1A1A1A"/>
                <w:sz w:val="22"/>
                <w:szCs w:val="22"/>
              </w:rPr>
              <w:t xml:space="preserve">The PLOL Technical Reproducibility Record must distinguish between the CIO's audit designation (name included for record purposes) and the duty contact channel (a functional contact point that routes to the duty CIO, not a specific named individual). The current practice of including only the audit CIO's name creates a false contact point that communities attempt to use for duty functions.</w:t>
            </w:r>
          </w:p>
          <w:p>
            <w:pPr>
              <w:spacing w:before="0" w:after="0"/>
            </w:pPr>
            <w:r>
              <w:rPr>
                <w:rFonts w:ascii="Arial" w:cs="Arial" w:eastAsia="Arial" w:hAnsi="Arial"/>
                <w:b/>
                <w:bCs/>
                <w:color w:val="1A5C2E"/>
                <w:sz w:val="020"/>
                <w:szCs w:val="020"/>
              </w:rPr>
              <w:t xml:space="preserve">Principle 5.7.3 Response Windows: </w:t>
            </w:r>
            <w:r>
              <w:rPr>
                <w:rFonts w:ascii="Georgia" w:cs="Georgia" w:eastAsia="Georgia" w:hAnsi="Georgia"/>
                <w:color w:val="1A1A1A"/>
                <w:sz w:val="22"/>
                <w:szCs w:val="22"/>
              </w:rPr>
              <w:t xml:space="preserve">The duty CIO must be reachable within: 4 hours for compound event independence assessments; 48 hours for Tier 1 methodology escalations that have not received a web-form response acknowledgment within 5 business days; 24 hours for all Tier 2 and above classification integrity questions. These windows are operational minimums, not performance targets.</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4. Amendment Record and Integration Instructions</w:t>
      </w:r>
    </w:p>
    <w:p>
      <w:pPr>
        <w:pStyle w:val="Heading2"/>
        <w:spacing w:before="300" w:after="120"/>
      </w:pPr>
      <w:r>
        <w:rPr>
          <w:rFonts w:ascii="Arial" w:cs="Arial" w:eastAsia="Arial" w:hAnsi="Arial"/>
          <w:b/>
          <w:bCs/>
          <w:color w:val="2E6DA4"/>
          <w:sz w:val="26"/>
          <w:szCs w:val="26"/>
        </w:rPr>
        <w:t xml:space="preserve">4.1  Location Map for Integration into v3.0</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60"/>
        <w:gridCol w:w="300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Amendment</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Insert After</w:t>
            </w:r>
          </w:p>
        </w:tc>
        <w:tc>
          <w:tcPr>
            <w:tcW w:type="dxa" w:w="19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New Section Number</w:t>
            </w:r>
          </w:p>
        </w:tc>
        <w:tc>
          <w:tcPr>
            <w:tcW w:type="dxa" w:w="30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Cross-References to Add</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Compound Event Interaction Flag</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Current Section 6.2 (Timescale Regimes)</w:t>
            </w:r>
          </w:p>
        </w:tc>
        <w:tc>
          <w:tcPr>
            <w:tcW w:type="dxa" w:w="1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Section 6.3</w:t>
            </w:r>
          </w:p>
        </w:tc>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Layer 5 Section 9.4; Companion A §6 (Compound Event Operational Protocol)</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Compound Event Enforcement</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Current Section 9.3 (Four Enforcement Mechanisms)</w:t>
            </w:r>
          </w:p>
        </w:tc>
        <w:tc>
          <w:tcPr>
            <w:tcW w:type="dxa" w:w="1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Section 9.4</w:t>
            </w:r>
          </w:p>
        </w:tc>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Layer 2 Section 6.3; Companion A Appendix B (PLOL compound cause field)</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CIO Duty Structure</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Current Section 5.6 (Leading Indicator Sublayer)</w:t>
            </w:r>
          </w:p>
        </w:tc>
        <w:tc>
          <w:tcPr>
            <w:tcW w:type="dxa" w:w="1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Section 5.7</w:t>
            </w:r>
          </w:p>
        </w:tc>
        <w:tc>
          <w:tcPr>
            <w:tcW w:type="dxa" w:w="3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Companion A §7 (Sentinel Node Architecture); Companion A Appendix B (PLOL contact field)</w:t>
            </w:r>
          </w:p>
        </w:tc>
      </w:tr>
    </w:tbl>
    <w:p>
      <w:pPr>
        <w:spacing w:before="0" w:after="80"/>
      </w:pPr>
      <w:r>
        <w:t xml:space="preserve"/>
      </w:r>
    </w:p>
    <w:p>
      <w:pPr>
        <w:pStyle w:val="Heading2"/>
        <w:spacing w:before="300" w:after="120"/>
      </w:pPr>
      <w:r>
        <w:rPr>
          <w:rFonts w:ascii="Arial" w:cs="Arial" w:eastAsia="Arial" w:hAnsi="Arial"/>
          <w:b/>
          <w:bCs/>
          <w:color w:val="2E6DA4"/>
          <w:sz w:val="26"/>
          <w:szCs w:val="26"/>
        </w:rPr>
        <w:t xml:space="preserve">4.2  Simulation Methodology Note for Research Record</w:t>
      </w:r>
    </w:p>
    <w:p>
      <w:pPr>
        <w:spacing w:before="0" w:after="160"/>
        <w:jc w:val="both"/>
      </w:pPr>
      <w:r>
        <w:rPr>
          <w:rFonts w:ascii="Georgia" w:cs="Georgia" w:eastAsia="Georgia" w:hAnsi="Georgia"/>
          <w:color w:val="1A1A1A"/>
          <w:sz w:val="22"/>
          <w:szCs w:val="22"/>
        </w:rPr>
        <w:t xml:space="preserve">The Compound Event Vulnerability was not identified by:</w:t>
      </w:r>
    </w:p>
    <w:p>
      <w:pPr>
        <w:pStyle w:val="ListParagraph"/>
        <w:numPr>
          <w:ilvl w:val="0"/>
          <w:numId w:val="3"/>
        </w:numPr>
        <w:spacing w:before="40" w:after="60"/>
      </w:pPr>
      <w:r>
        <w:rPr>
          <w:rFonts w:ascii="Georgia" w:cs="Georgia" w:eastAsia="Georgia" w:hAnsi="Georgia"/>
          <w:color w:val="1A1A1A"/>
          <w:sz w:val="22"/>
          <w:szCs w:val="22"/>
        </w:rPr>
        <w:t xml:space="preserve">Four AI red team passes across three models (Gemini, ChatGPT, Claude, DeepSeek)</w:t>
      </w:r>
    </w:p>
    <w:p>
      <w:pPr>
        <w:pStyle w:val="ListParagraph"/>
        <w:numPr>
          <w:ilvl w:val="0"/>
          <w:numId w:val="3"/>
        </w:numPr>
        <w:spacing w:before="40" w:after="60"/>
      </w:pPr>
      <w:r>
        <w:rPr>
          <w:rFonts w:ascii="Georgia" w:cs="Georgia" w:eastAsia="Georgia" w:hAnsi="Georgia"/>
          <w:color w:val="1A1A1A"/>
          <w:sz w:val="22"/>
          <w:szCs w:val="22"/>
        </w:rPr>
        <w:t xml:space="preserve">Two formal adversarial review rounds of the master architecture</w:t>
      </w:r>
    </w:p>
    <w:p>
      <w:pPr>
        <w:pStyle w:val="ListParagraph"/>
        <w:numPr>
          <w:ilvl w:val="0"/>
          <w:numId w:val="3"/>
        </w:numPr>
        <w:spacing w:before="40" w:after="60"/>
      </w:pPr>
      <w:r>
        <w:rPr>
          <w:rFonts w:ascii="Georgia" w:cs="Georgia" w:eastAsia="Georgia" w:hAnsi="Georgia"/>
          <w:color w:val="1A1A1A"/>
          <w:sz w:val="22"/>
          <w:szCs w:val="22"/>
        </w:rPr>
        <w:t xml:space="preserve">Three full specification passes (v1, v2, v3)</w:t>
      </w:r>
    </w:p>
    <w:p>
      <w:pPr>
        <w:pStyle w:val="ListParagraph"/>
        <w:numPr>
          <w:ilvl w:val="0"/>
          <w:numId w:val="3"/>
        </w:numPr>
        <w:spacing w:before="40" w:after="60"/>
      </w:pPr>
      <w:r>
        <w:rPr>
          <w:rFonts w:ascii="Georgia" w:cs="Georgia" w:eastAsia="Georgia" w:hAnsi="Georgia"/>
          <w:color w:val="1A1A1A"/>
          <w:sz w:val="22"/>
          <w:szCs w:val="22"/>
        </w:rPr>
        <w:t xml:space="preserve">Two targeted red team passes of Companion A</w:t>
      </w:r>
    </w:p>
    <w:p>
      <w:pPr>
        <w:spacing w:before="0" w:after="160"/>
        <w:jc w:val="both"/>
      </w:pPr>
      <w:r>
        <w:rPr>
          <w:rFonts w:ascii="Georgia" w:cs="Georgia" w:eastAsia="Georgia" w:hAnsi="Georgia"/>
          <w:color w:val="1A1A1A"/>
          <w:sz w:val="22"/>
          <w:szCs w:val="22"/>
        </w:rPr>
        <w:t xml:space="preserve">It was identified by a phenomenological fiction simulation of approximately 400 lines, generated in one session with a 28,672-token context window, using a system prompt built from the AHC specification and calibrated to the narrative sensibilities of Kim Stanley Robinson and Octavia Butler.</w:t>
      </w:r>
    </w:p>
    <w:p>
      <w:pPr>
        <w:spacing w:before="0" w:after="160"/>
        <w:jc w:val="both"/>
      </w:pPr>
      <w:r>
        <w:rPr>
          <w:rFonts w:ascii="Georgia" w:cs="Georgia" w:eastAsia="Georgia" w:hAnsi="Georgia"/>
          <w:color w:val="1A1A1A"/>
          <w:sz w:val="22"/>
          <w:szCs w:val="22"/>
        </w:rPr>
        <w:t xml:space="preserve">This is recorded formally as a finding about the AHC research program's own methodology: certain classes of architectural vulnerability are not accessible to analytical or adversarial critique operating in the architectural frame. They become visible only when the architecture is rendered from the perspective of the communities it is designed to protect, operating under the phenomenological conditions — bureaucratic time, resource asymmetry, document-as-only-interface — that the architecture produces.</w:t>
      </w:r>
    </w:p>
    <w:p>
      <w:pPr>
        <w:spacing w:before="0" w:after="160"/>
        <w:jc w:val="both"/>
      </w:pPr>
      <w:r>
        <w:rPr>
          <w:rFonts w:ascii="Georgia" w:cs="Georgia" w:eastAsia="Georgia" w:hAnsi="Georgia"/>
          <w:color w:val="1A1A1A"/>
          <w:sz w:val="22"/>
          <w:szCs w:val="22"/>
        </w:rPr>
        <w:t xml:space="preserve">The fictionality method should be treated as a permanent component of the AHC validation methodology, not a one-time exercise. Specifically: before any major specification change that affects community-facing interfaces (PLOL fields, review channels, pause petition procedures), a brief simulation calibrated to the new specification should be run to test whether the change produces the intended community experience.</w:t>
      </w:r>
    </w:p>
    <w:p>
      <w:pPr>
        <w:spacing w:before="0" w:after="80"/>
      </w:pPr>
      <w:r>
        <w:t xml:space="preserve"/>
      </w:r>
    </w:p>
    <w:p>
      <w:pPr>
        <w:pBdr>
          <w:bottom w:val="single" w:color="A8C4D8" w:sz="4" w:space="1"/>
        </w:pBdr>
        <w:spacing w:before="120" w:after="120"/>
      </w:pPr>
    </w:p>
    <w:p>
      <w:pPr>
        <w:spacing w:before="0" w:after="80"/>
      </w:pPr>
      <w:r>
        <w:t xml:space="preserve"/>
      </w:r>
    </w:p>
    <w:p>
      <w:pPr>
        <w:jc w:val="center"/>
      </w:pPr>
      <w:r>
        <w:rPr>
          <w:rFonts w:ascii="Arial" w:cs="Arial" w:eastAsia="Arial" w:hAnsi="Arial"/>
          <w:b w:val="false"/>
          <w:bCs w:val="false"/>
          <w:color w:val="555555"/>
          <w:sz w:val="18"/>
          <w:szCs w:val="18"/>
        </w:rPr>
        <w:t xml:space="preserve">Amendment issued March 2026. Companion A v3 issued concurrently. Both documents supersede their prior versions where they conflict.</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D8" w:sz="4" w:space="4"/>
      </w:pBdr>
      <w:jc w:val="right"/>
    </w:pPr>
    <w:r>
      <w:rPr>
        <w:rFonts w:ascii="Arial" w:cs="Arial" w:eastAsia="Arial" w:hAnsi="Arial"/>
        <w:b w:val="false"/>
        <w:bCs w:val="false"/>
        <w:color w:val="555555"/>
        <w:sz w:val="18"/>
        <w:szCs w:val="18"/>
      </w:rPr>
      <w:t xml:space="preserve">Amendment to AHC v3.0    </w:t>
    </w:r>
    <w:r>
      <w:rPr>
        <w:rFonts w:ascii="Arial" w:cs="Arial" w:eastAsia="Arial" w:hAnsi="Arial"/>
        <w:color w:val="2E6DA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4D8" w:sz="4" w:space="4"/>
      </w:pBdr>
    </w:pPr>
    <w:r>
      <w:rPr>
        <w:rFonts w:ascii="Arial" w:cs="Arial" w:eastAsia="Arial" w:hAnsi="Arial"/>
        <w:b/>
        <w:bCs/>
        <w:color w:val="2E6DA4"/>
        <w:sz w:val="18"/>
        <w:szCs w:val="18"/>
      </w:rPr>
      <w:t xml:space="preserve">AHC MASTER ARCHITECTURE — AMENDMENT MEMO  |  Simulation Findings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2026-03-20T17:17:56.041Z</dcterms:created>
  <dcterms:modified xsi:type="dcterms:W3CDTF">2026-03-20T17:17:56.042Z</dcterms:modified>
</cp:coreProperties>
</file>

<file path=docProps/custom.xml><?xml version="1.0" encoding="utf-8"?>
<Properties xmlns="http://schemas.openxmlformats.org/officeDocument/2006/custom-properties" xmlns:vt="http://schemas.openxmlformats.org/officeDocument/2006/docPropsVTypes"/>
</file>