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center"/>
      </w:pPr>
      <w:r>
        <w:rPr>
          <w:rFonts w:ascii="Arial" w:cs="Arial" w:eastAsia="Arial" w:hAnsi="Arial"/>
          <w:b/>
          <w:bCs/>
          <w:color w:val="1B3A5C"/>
          <w:sz w:val="44"/>
          <w:szCs w:val="44"/>
        </w:rPr>
        <w:t xml:space="preserve">COMPANION A  [AHC-L0]</w:t>
      </w:r>
    </w:p>
    <w:p>
      <w:pPr>
        <w:spacing w:before="0" w:after="60"/>
        <w:jc w:val="center"/>
      </w:pPr>
      <w:r>
        <w:rPr>
          <w:rFonts w:ascii="Arial" w:cs="Arial" w:eastAsia="Arial" w:hAnsi="Arial"/>
          <w:b w:val="false"/>
          <w:bCs w:val="false"/>
          <w:color w:val="2E6DA4"/>
          <w:sz w:val="28"/>
          <w:szCs w:val="28"/>
        </w:rPr>
        <w:t xml:space="preserve">Section 19 Addition</w:t>
      </w:r>
    </w:p>
    <w:p>
      <w:pPr>
        <w:spacing w:before="0" w:after="480"/>
        <w:jc w:val="center"/>
      </w:pPr>
      <w:r>
        <w:rPr>
          <w:rFonts w:ascii="Arial" w:cs="Arial" w:eastAsia="Arial" w:hAnsi="Arial"/>
          <w:b/>
          <w:bCs/>
          <w:color w:val="2E6DA4"/>
          <w:sz w:val="24"/>
          <w:szCs w:val="24"/>
        </w:rPr>
        <w:t xml:space="preserve">Minimum Viable Architecture for Phase 1 Deployment</w:t>
      </w:r>
    </w:p>
    <w:p>
      <w:pPr>
        <w:pBdr>
          <w:bottom w:val="single" w:color="1B3A5C" w:sz="12" w:space="1"/>
        </w:pBdr>
        <w:spacing w:before="0" w:after="480"/>
      </w:pPr>
    </w:p>
    <w:p>
      <w:pPr>
        <w:spacing w:before="0" w:after="60"/>
        <w:jc w:val="center"/>
      </w:pPr>
      <w:r>
        <w:rPr>
          <w:rFonts w:ascii="Arial" w:cs="Arial" w:eastAsia="Arial" w:hAnsi="Arial"/>
          <w:b w:val="false"/>
          <w:bCs w:val="false"/>
          <w:color w:val="555555"/>
          <w:sz w:val="21"/>
          <w:szCs w:val="21"/>
        </w:rPr>
        <w:t xml:space="preserve">To be integrated into Companion A v3 as Section 19, Appendix B (revised), and Appendix I (new)</w:t>
      </w:r>
    </w:p>
    <w:p>
      <w:pPr>
        <w:spacing w:before="0" w:after="480"/>
        <w:jc w:val="center"/>
      </w:pPr>
      <w:r>
        <w:rPr>
          <w:rFonts w:ascii="Arial" w:cs="Arial" w:eastAsia="Arial" w:hAnsi="Arial"/>
          <w:b w:val="false"/>
          <w:bCs w:val="false"/>
          <w:color w:val="555555"/>
          <w:sz w:val="21"/>
          <w:szCs w:val="21"/>
        </w:rPr>
        <w:t xml:space="preserve">Developed through adversarial loop: Claude + Gemini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Purpose and Scope</w:t>
            </w:r>
          </w:p>
          <w:p>
            <w:pPr>
              <w:spacing w:before="0" w:after="80"/>
              <w:jc w:val="both"/>
            </w:pPr>
            <w:r>
              <w:rPr>
                <w:rFonts w:ascii="Georgia" w:cs="Georgia" w:eastAsia="Georgia" w:hAnsi="Georgia"/>
                <w:color w:val="1A1A1A"/>
                <w:sz w:val="22"/>
                <w:szCs w:val="22"/>
              </w:rPr>
              <w:t xml:space="preserve">This addition resolves the procedural hypertrophy risk identified in the ninth adversarial review pass. It specifies the Minimum Viable Architecture (MVA) for Phase 1 Diagnostic Mode deployment: the smallest version of the AHC system that preserves multi-audience operability while remaining operable by real institutions with real resource constraints. It also revises the Plain Language Output Layer specification (Appendix B) to incorporate the Tripartite Output Sequencing Protocol, and introduces a new Appendix I specifying the Policy Attribution Standard for the Civic/Legislative Translation Record.</w:t>
            </w:r>
          </w:p>
          <w:p>
            <w:pPr>
              <w:spacing w:before="0" w:after="0"/>
              <w:jc w:val="both"/>
            </w:pPr>
            <w:r>
              <w:rPr>
                <w:rFonts w:ascii="Georgia" w:cs="Georgia" w:eastAsia="Georgia" w:hAnsi="Georgia"/>
                <w:color w:val="1A1A1A"/>
                <w:sz w:val="22"/>
                <w:szCs w:val="22"/>
              </w:rPr>
              <w:t xml:space="preserve">This addition does not supersede or simplify any prior specification. All prior layers and protocols remain valid for Phase 2 and Phase 3 deployment. The MVA specifies what must be present in Phase 1 and what may be deferred without losing the core anti-Korematsu-Illusion function.</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19. Minimum Viable Architecture for Phase 1 Deployment</w:t>
      </w:r>
    </w:p>
    <w:p>
      <w:pPr>
        <w:pStyle w:val="Heading2"/>
        <w:spacing w:before="300" w:after="120"/>
      </w:pPr>
      <w:r>
        <w:rPr>
          <w:rFonts w:ascii="Arial" w:cs="Arial" w:eastAsia="Arial" w:hAnsi="Arial"/>
          <w:b/>
          <w:bCs/>
          <w:color w:val="2E6DA4"/>
          <w:sz w:val="26"/>
          <w:szCs w:val="26"/>
        </w:rPr>
        <w:t xml:space="preserve">19.1  The Procedural Hypertrophy Problem</w:t>
      </w:r>
    </w:p>
    <w:p>
      <w:pPr>
        <w:spacing w:before="0" w:after="160"/>
        <w:jc w:val="both"/>
      </w:pPr>
      <w:r>
        <w:rPr>
          <w:rFonts w:ascii="Georgia" w:cs="Georgia" w:eastAsia="Georgia" w:hAnsi="Georgia"/>
          <w:color w:val="1A1A1A"/>
          <w:sz w:val="22"/>
          <w:szCs w:val="22"/>
        </w:rPr>
        <w:t xml:space="preserve">The adversarial development of this architecture has followed a predictable pattern: each patch to a detected vulnerability increases procedural complexity, which creates new attack surfaces, which require more patches. There is an inflection point in this process — identified in the ninth adversarial review pass — where the system is technically smarter but practically weaker, because it has become harder to operate consistently than to circumvent strategically.</w:t>
      </w:r>
    </w:p>
    <w:p>
      <w:pPr>
        <w:spacing w:before="0" w:after="160"/>
        <w:jc w:val="both"/>
      </w:pPr>
      <w:r>
        <w:rPr>
          <w:rFonts w:ascii="Georgia" w:cs="Georgia" w:eastAsia="Georgia" w:hAnsi="Georgia"/>
          <w:color w:val="1A1A1A"/>
          <w:sz w:val="22"/>
          <w:szCs w:val="22"/>
        </w:rPr>
        <w:t xml:space="preserve">The response to this pattern is not to stop improving the architecture. It is to distinguish between what must be present in Phase 1 Diagnostic Mode and what improves the system's operation when the institutional infrastructure to support it exists. This distinction defines the Minimum Viable Architecture.</w:t>
      </w:r>
    </w:p>
    <w:p>
      <w:pPr>
        <w:spacing w:before="0" w:after="160"/>
        <w:jc w:val="both"/>
      </w:pPr>
      <w:r>
        <w:rPr>
          <w:rFonts w:ascii="Georgia" w:cs="Georgia" w:eastAsia="Georgia" w:hAnsi="Georgia"/>
          <w:color w:val="1A1A1A"/>
          <w:sz w:val="22"/>
          <w:szCs w:val="22"/>
        </w:rPr>
        <w:t xml:space="preserve">The MVA is not a simplified version of AHC. It is a sequenced deployment of the same architecture, with a clear specification of which elements constitute the irreducible operational core and which elements are protective additions that require Phase 2 or Phase 3 institutional infrastructure to operate without creating new failure modes of their own.</w:t>
      </w:r>
    </w:p>
    <w:p>
      <w:pPr>
        <w:pStyle w:val="Heading2"/>
        <w:spacing w:before="300" w:after="120"/>
      </w:pPr>
      <w:r>
        <w:rPr>
          <w:rFonts w:ascii="Arial" w:cs="Arial" w:eastAsia="Arial" w:hAnsi="Arial"/>
          <w:b/>
          <w:bCs/>
          <w:color w:val="2E6DA4"/>
          <w:sz w:val="26"/>
          <w:szCs w:val="26"/>
        </w:rPr>
        <w:t xml:space="preserve">19.2  The Core Function Criterion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19"/>
                <w:szCs w:val="19"/>
              </w:rPr>
              <w:t xml:space="preserve">MVA Criterion</w:t>
            </w:r>
          </w:p>
        </w:tc>
        <w:tc>
          <w:tcPr>
            <w:tcW w:type="dxa" w:w="7360"/>
            <w:tcBorders>
              <w:top w:val="single" w:color="1B3A5C" w:sz="1"/>
              <w:left w:val="single" w:color="1B3A5C" w:sz="1"/>
              <w:bottom w:val="single" w:color="1B3A5C" w:sz="1"/>
              <w:right w:val="single" w:color="1B3A5C" w:sz="1"/>
            </w:tcBorders>
            <w:shd w:fill="F5F7FA" w:val="clear"/>
            <w:tcMar>
              <w:top w:type="dxa" w:w="100"/>
              <w:left w:type="dxa" w:w="200"/>
              <w:bottom w:type="dxa" w:w="100"/>
              <w:right w:type="dxa" w:w="160"/>
            </w:tcMar>
          </w:tcPr>
          <w:p>
            <w:pPr>
              <w:spacing w:before="0" w:after="0"/>
              <w:jc w:val="both"/>
            </w:pPr>
            <w:r>
              <w:rPr>
                <w:rFonts w:ascii="Georgia" w:cs="Georgia" w:eastAsia="Georgia" w:hAnsi="Georgia"/>
                <w:color w:val="1A1A1A"/>
                <w:sz w:val="22"/>
                <w:szCs w:val="22"/>
              </w:rPr>
              <w:t xml:space="preserve">The minimum viable architecture is the smallest set of elements required to produce a classification output that: (1) cannot be achieved by existing aggregate welfare metrics; (2) is contestable by affected communities; and (3) is not controlled by the state being evaluated. These three conditions constitute the anti-Korematsu-Illusion property that justifies the architecture's existence.</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Everything else — enforcement mechanisms, compound event protocols, international tribunals, statistical support funds, graduated response tiers — is in service of this criterion. The MVA question is which elements are required for these three conditions to hold versus which elements improve how well the conditions are met.</w:t>
      </w:r>
    </w:p>
    <w:p>
      <w:pPr>
        <w:pStyle w:val="Heading2"/>
        <w:spacing w:before="300" w:after="120"/>
      </w:pPr>
      <w:r>
        <w:rPr>
          <w:rFonts w:ascii="Arial" w:cs="Arial" w:eastAsia="Arial" w:hAnsi="Arial"/>
          <w:b/>
          <w:bCs/>
          <w:color w:val="2E6DA4"/>
          <w:sz w:val="26"/>
          <w:szCs w:val="26"/>
        </w:rPr>
        <w:t xml:space="preserve">19.3  The Multi-Audience Constraint</w:t>
      </w:r>
    </w:p>
    <w:p>
      <w:pPr>
        <w:spacing w:before="0" w:after="160"/>
        <w:jc w:val="both"/>
      </w:pPr>
      <w:r>
        <w:rPr>
          <w:rFonts w:ascii="Georgia" w:cs="Georgia" w:eastAsia="Georgia" w:hAnsi="Georgia"/>
          <w:color w:val="1A1A1A"/>
          <w:sz w:val="22"/>
          <w:szCs w:val="22"/>
        </w:rPr>
        <w:t xml:space="preserve">A prior MVA framing assumed the architecture could be defined by selecting a single primary audience and optimizing for that audience's requirements. This framing fails because the mechanisms that could respond to a classification are distributed across multiple audiences simultaneously:</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360"/>
        <w:gridCol w:w="2760"/>
      </w:tblGrid>
      <w:tr>
        <w:tc>
          <w:tcPr>
            <w:tcW w:type="dxa" w:w="1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Audience</w:t>
            </w:r>
          </w:p>
        </w:tc>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Evidentiary Standard</w:t>
            </w:r>
          </w:p>
        </w:tc>
        <w:tc>
          <w:tcPr>
            <w:tcW w:type="dxa" w:w="2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Response Timescale</w:t>
            </w:r>
          </w:p>
        </w:tc>
        <w:tc>
          <w:tcPr>
            <w:tcW w:type="dxa" w:w="27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Primary Output Required</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Affected communities</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Plain language — intelligible to literate non-expert</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Days to weeks (housing court, utility shutoff)</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Semantic Contestability Record (T+0)</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Civil society and NGOs</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Policy linkage — actionable for advocacy and municipal hearings</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Weeks to months (organizing, injunction filing)</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Civic/Legislative Translation Record (T+72h)</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Courts and litigators</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Daubert / scientific reliability standard</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Months to years (litigation track)</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Technical Reproducibility Record (T+30d)</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Legislators and administrators</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APA arbitrary-and-capricious — rational explanation gap</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Political cycle (sessions, hearings)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Civic/Legislative Translation Record (T+72h)</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The architecture cannot optimize for one audience without foreclosing others. Simplifying for courts (rigorous methodology, slow documentation) blocks the community pathway. Simplifying for communities (fast, accessible) fails the court pathway. The MVA must maintain live optionality across all four pathways simultaneously. This is a tighter constraint than minimizing the system — it is minimizing the system while preserving multi-audience operability.</w:t>
      </w:r>
    </w:p>
    <w:p>
      <w:pPr>
        <w:spacing w:before="0" w:after="160"/>
        <w:jc w:val="both"/>
      </w:pPr>
      <w:r>
        <w:rPr>
          <w:rFonts w:ascii="Georgia" w:cs="Georgia" w:eastAsia="Georgia" w:hAnsi="Georgia"/>
          <w:color w:val="1A1A1A"/>
          <w:sz w:val="22"/>
          <w:szCs w:val="22"/>
        </w:rPr>
        <w:t xml:space="preserve">The mechanism that makes this possible is the Tripartite Output Sequencing Protocol. A single underlying classification event generates three sequenced outputs calibrated to the timescale and evidentiary standard of each audience. The outputs are cryptographically hash-bridged to a single classification event, preventing semantic drift across registers. This is the MVA's architectural core.</w:t>
      </w:r>
    </w:p>
    <w:p>
      <w:r>
        <w:br w:type="page"/>
      </w:r>
    </w:p>
    <w:p>
      <w:pPr>
        <w:pStyle w:val="Heading2"/>
        <w:spacing w:before="300" w:after="120"/>
      </w:pPr>
      <w:r>
        <w:rPr>
          <w:rFonts w:ascii="Arial" w:cs="Arial" w:eastAsia="Arial" w:hAnsi="Arial"/>
          <w:b/>
          <w:bCs/>
          <w:color w:val="2E6DA4"/>
          <w:sz w:val="26"/>
          <w:szCs w:val="26"/>
        </w:rPr>
        <w:t xml:space="preserve">19.4  The Tripartite Output Sequencing Protocol</w:t>
      </w:r>
    </w:p>
    <w:p>
      <w:pPr>
        <w:spacing w:before="0" w:after="160"/>
        <w:jc w:val="both"/>
      </w:pPr>
      <w:r>
        <w:rPr>
          <w:rFonts w:ascii="Georgia" w:cs="Georgia" w:eastAsia="Georgia" w:hAnsi="Georgia"/>
          <w:color w:val="1A1A1A"/>
          <w:sz w:val="22"/>
          <w:szCs w:val="22"/>
        </w:rPr>
        <w:t xml:space="preserve">The current PLOL specification (Appendix B) produces a Semantic Contestability Record and a Technical Reproducibility Record simultaneously. Version 3.1 revises this to a sequenced tripartite structure that cascades outputs by audience timescale. A full revised specification appears in Appendix B of this addition. The protocol summary:</w:t>
      </w:r>
    </w:p>
    <w:p>
      <w:pPr>
        <w:spacing w:before="0"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2360"/>
        <w:gridCol w:w="176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Timing</w:t>
            </w:r>
          </w:p>
        </w:tc>
        <w:tc>
          <w:tcPr>
            <w:tcW w:type="dxa" w:w="16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Record Name</w:t>
            </w:r>
          </w:p>
        </w:tc>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Primary Audience</w:t>
            </w:r>
          </w:p>
        </w:tc>
        <w:tc>
          <w:tcPr>
            <w:tcW w:type="dxa" w:w="2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Mandatory Content</w:t>
            </w:r>
          </w:p>
        </w:tc>
        <w:tc>
          <w:tcPr>
            <w:tcW w:type="dxa" w:w="17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Generation Window</w:t>
            </w:r>
          </w:p>
        </w:tc>
      </w:tr>
      <w:tr>
        <w:tc>
          <w:tcPr>
            <w:tcW w:type="dxa" w:w="1200"/>
            <w:tcBorders>
              <w:top w:val="single" w:color="A8C4D8" w:sz="1"/>
              <w:left w:val="single" w:color="A8C4D8" w:sz="1"/>
              <w:bottom w:val="single" w:color="A8C4D8" w:sz="1"/>
              <w:right w:val="single" w:color="A8C4D8" w:sz="1"/>
            </w:tcBorders>
            <w:shd w:fill="FFF8E8"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T+0</w:t>
            </w:r>
          </w:p>
        </w:tc>
        <w:tc>
          <w:tcPr>
            <w:tcW w:type="dxa" w:w="1600"/>
            <w:tcBorders>
              <w:top w:val="single" w:color="A8C4D8" w:sz="1"/>
              <w:left w:val="single" w:color="A8C4D8" w:sz="1"/>
              <w:bottom w:val="single" w:color="A8C4D8" w:sz="1"/>
              <w:right w:val="single" w:color="A8C4D8" w:sz="1"/>
            </w:tcBorders>
            <w:shd w:fill="FFF8E8"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Semantic Contestability Record</w:t>
            </w:r>
          </w:p>
        </w:tc>
        <w:tc>
          <w:tcPr>
            <w:tcW w:type="dxa" w:w="2400"/>
            <w:tcBorders>
              <w:top w:val="single" w:color="A8C4D8" w:sz="1"/>
              <w:left w:val="single" w:color="A8C4D8" w:sz="1"/>
              <w:bottom w:val="single" w:color="A8C4D8" w:sz="1"/>
              <w:right w:val="single" w:color="A8C4D8" w:sz="1"/>
            </w:tcBorders>
            <w:shd w:fill="FFF8E8"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Affected community — housing court timescale</w:t>
            </w:r>
          </w:p>
        </w:tc>
        <w:tc>
          <w:tcPr>
            <w:tcW w:type="dxa" w:w="2360"/>
            <w:tcBorders>
              <w:top w:val="single" w:color="A8C4D8" w:sz="1"/>
              <w:left w:val="single" w:color="A8C4D8" w:sz="1"/>
              <w:bottom w:val="single" w:color="A8C4D8" w:sz="1"/>
              <w:right w:val="single" w:color="A8C4D8" w:sz="1"/>
            </w:tcBorders>
            <w:shd w:fill="FFF8E8"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Plain language: what happened, what the system cannot see (Uncertainty Statement), what it cannot stop right now (Immediate Limitation), how to fight it (Resource Access Field)</w:t>
            </w:r>
          </w:p>
        </w:tc>
        <w:tc>
          <w:tcPr>
            <w:tcW w:type="dxa" w:w="1760"/>
            <w:tcBorders>
              <w:top w:val="single" w:color="A8C4D8" w:sz="1"/>
              <w:left w:val="single" w:color="A8C4D8" w:sz="1"/>
              <w:bottom w:val="single" w:color="A8C4D8" w:sz="1"/>
              <w:right w:val="single" w:color="A8C4D8" w:sz="1"/>
            </w:tcBorders>
            <w:shd w:fill="FFF8E8"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At threshold breach — no delay permitted</w:t>
            </w:r>
          </w:p>
        </w:tc>
      </w:tr>
      <w:tr>
        <w:tc>
          <w:tcPr>
            <w:tcW w:type="dxa" w:w="1200"/>
            <w:tcBorders>
              <w:top w:val="single" w:color="A8C4D8" w:sz="1"/>
              <w:left w:val="single" w:color="A8C4D8" w:sz="1"/>
              <w:bottom w:val="single" w:color="A8C4D8" w:sz="1"/>
              <w:right w:val="single" w:color="A8C4D8" w:sz="1"/>
            </w:tcBorders>
            <w:shd w:fill="E8F4F5"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T+72h</w:t>
            </w:r>
          </w:p>
        </w:tc>
        <w:tc>
          <w:tcPr>
            <w:tcW w:type="dxa" w:w="1600"/>
            <w:tcBorders>
              <w:top w:val="single" w:color="A8C4D8" w:sz="1"/>
              <w:left w:val="single" w:color="A8C4D8" w:sz="1"/>
              <w:bottom w:val="single" w:color="A8C4D8" w:sz="1"/>
              <w:right w:val="single" w:color="A8C4D8" w:sz="1"/>
            </w:tcBorders>
            <w:shd w:fill="E8F4F5"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Civic/Legislative Translation Record</w:t>
            </w:r>
          </w:p>
        </w:tc>
        <w:tc>
          <w:tcPr>
            <w:tcW w:type="dxa" w:w="2400"/>
            <w:tcBorders>
              <w:top w:val="single" w:color="A8C4D8" w:sz="1"/>
              <w:left w:val="single" w:color="A8C4D8" w:sz="1"/>
              <w:bottom w:val="single" w:color="A8C4D8" w:sz="1"/>
              <w:right w:val="single" w:color="A8C4D8" w:sz="1"/>
            </w:tcBorders>
            <w:shd w:fill="E8F4F5"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NGOs, organizers, municipal advocates — campaign timescale</w:t>
            </w:r>
          </w:p>
        </w:tc>
        <w:tc>
          <w:tcPr>
            <w:tcW w:type="dxa" w:w="2360"/>
            <w:tcBorders>
              <w:top w:val="single" w:color="A8C4D8" w:sz="1"/>
              <w:left w:val="single" w:color="A8C4D8" w:sz="1"/>
              <w:bottom w:val="single" w:color="A8C4D8" w:sz="1"/>
              <w:right w:val="single" w:color="A8C4D8" w:sz="1"/>
            </w:tcBorders>
            <w:shd w:fill="E8F4F5"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Policy causal attribution: maps viability collapse to specific statutory/regulatory instruments; Rational Explanation Failure documentation; APA arbitrary-and-capricious hook</w:t>
            </w:r>
          </w:p>
        </w:tc>
        <w:tc>
          <w:tcPr>
            <w:tcW w:type="dxa" w:w="1760"/>
            <w:tcBorders>
              <w:top w:val="single" w:color="A8C4D8" w:sz="1"/>
              <w:left w:val="single" w:color="A8C4D8" w:sz="1"/>
              <w:bottom w:val="single" w:color="A8C4D8" w:sz="1"/>
              <w:right w:val="single" w:color="A8C4D8" w:sz="1"/>
            </w:tcBorders>
            <w:shd w:fill="E8F4F5"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72 hours from T+0 — advocacy preparation window</w:t>
            </w:r>
          </w:p>
        </w:tc>
      </w:tr>
      <w:tr>
        <w:tc>
          <w:tcPr>
            <w:tcW w:type="dxa" w:w="12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T+30d</w:t>
            </w:r>
          </w:p>
        </w:tc>
        <w:tc>
          <w:tcPr>
            <w:tcW w:type="dxa" w:w="16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Technical Reproducibility Record</w:t>
            </w:r>
          </w:p>
        </w:tc>
        <w:tc>
          <w:tcPr>
            <w:tcW w:type="dxa" w:w="24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Courts, expert challengers — litigation timescale</w:t>
            </w:r>
          </w:p>
        </w:tc>
        <w:tc>
          <w:tcPr>
            <w:tcW w:type="dxa" w:w="23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Full audit trail: model version, parameter state, differential privacy budgets (ε), synthetic control analysis, GitHub commit hash, Stage 3 causal ID variables, node contribution summary</w:t>
            </w:r>
          </w:p>
        </w:tc>
        <w:tc>
          <w:tcPr>
            <w:tcW w:type="dxa" w:w="17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30 days from T+0 — court-track preparation window</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The T+0 output is the most critical. It is generated automatically upon threshold breach with no operator intervention required. The community cannot be held hostage to the litigation-track documentation timeline. If the T+30d technical record is incomplete, delayed, or under revision, the T+0 semantic record remains in force and visible.</w:t>
      </w:r>
    </w:p>
    <w:p>
      <w:pPr>
        <w:spacing w:before="0" w:after="160"/>
        <w:jc w:val="both"/>
      </w:pPr>
      <w:r>
        <w:rPr>
          <w:rFonts w:ascii="Georgia" w:cs="Georgia" w:eastAsia="Georgia" w:hAnsi="Georgia"/>
          <w:color w:val="1A1A1A"/>
          <w:sz w:val="22"/>
          <w:szCs w:val="22"/>
        </w:rPr>
        <w:t xml:space="preserve">The T+72h Civic/Legislative Translation Record is the new middle register identified as missing from prior specifications. It serves the audience that needs more than plain language but less than a full audit trail — NGO directors preparing for city council meetings, organizers filing for injunctions, legislative staff drafting oversight requests. Its specific content requirements and evidentiary standard appear in Appendix I.</w:t>
      </w:r>
    </w:p>
    <w:p>
      <w:pPr>
        <w:pStyle w:val="Heading3"/>
        <w:spacing w:before="200" w:after="80"/>
      </w:pPr>
      <w:r>
        <w:rPr>
          <w:rFonts w:ascii="Arial" w:cs="Arial" w:eastAsia="Arial" w:hAnsi="Arial"/>
          <w:b/>
          <w:bCs/>
          <w:color w:val="1B3A5C"/>
          <w:sz w:val="23"/>
          <w:szCs w:val="23"/>
        </w:rPr>
        <w:t xml:space="preserve">19.4.1  Semantic Consistency Across Registers</w:t>
      </w:r>
    </w:p>
    <w:p>
      <w:pPr>
        <w:spacing w:before="0" w:after="160"/>
        <w:jc w:val="both"/>
      </w:pPr>
      <w:r>
        <w:rPr>
          <w:rFonts w:ascii="Georgia" w:cs="Georgia" w:eastAsia="Georgia" w:hAnsi="Georgia"/>
          <w:color w:val="1A1A1A"/>
          <w:sz w:val="22"/>
          <w:szCs w:val="22"/>
        </w:rPr>
        <w:t xml:space="preserve">The three registers use different registers to describe the same underlying classification event. Hostile actors will exploit this multiplicity, characterizing differences in framing as inconsistency in the underlying findings. The hash bridge proves all three outputs derive from the same classification event. But the hash bridge proves origin, not consistency. Each register must therefore include a mandatory Consistency Statement.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Principle 19.1  Mandatory Consistency Statement</w:t>
            </w:r>
          </w:p>
          <w:p>
            <w:pPr>
              <w:spacing w:before="0" w:after="0"/>
              <w:jc w:val="both"/>
            </w:pPr>
            <w:r>
              <w:rPr>
                <w:rFonts w:ascii="Georgia" w:cs="Georgia" w:eastAsia="Georgia" w:hAnsi="Georgia"/>
                <w:color w:val="1A1A1A"/>
                <w:sz w:val="22"/>
                <w:szCs w:val="22"/>
              </w:rPr>
              <w:t xml:space="preserve">Each of the three PLOL outputs must contain a brief Consistency Statement explaining why the same underlying classification appears differently in different registers. Required language (adaptable to the specific classification): 'The community record describes this situation in plain terms because that is what the pattern of harm constitutes at the lived level. The policy record maps it to administrative instruments because those are what advocates can challenge. The technical record describes it in statistical terms because that is what courts require to act on it. These are not contradictory descriptions of different facts. They are the same fact translated for different institutional contexts. All three records hash-bridge to the same underlying classification event [hash].' Absence of the Consistency Statement constitutes a PLOL sufficiency failure.</w:t>
            </w:r>
          </w:p>
        </w:tc>
      </w:tr>
    </w:tbl>
    <w:p>
      <w:r>
        <w:br w:type="page"/>
      </w:r>
    </w:p>
    <w:p>
      <w:pPr>
        <w:pStyle w:val="Heading2"/>
        <w:spacing w:before="300" w:after="120"/>
      </w:pPr>
      <w:r>
        <w:rPr>
          <w:rFonts w:ascii="Arial" w:cs="Arial" w:eastAsia="Arial" w:hAnsi="Arial"/>
          <w:b/>
          <w:bCs/>
          <w:color w:val="2E6DA4"/>
          <w:sz w:val="26"/>
          <w:szCs w:val="26"/>
        </w:rPr>
        <w:t xml:space="preserve">19.5  Phase 1 Operational Core</w:t>
      </w:r>
    </w:p>
    <w:p>
      <w:pPr>
        <w:spacing w:before="0" w:after="160"/>
        <w:jc w:val="both"/>
      </w:pPr>
      <w:r>
        <w:rPr>
          <w:rFonts w:ascii="Georgia" w:cs="Georgia" w:eastAsia="Georgia" w:hAnsi="Georgia"/>
          <w:color w:val="1A1A1A"/>
          <w:sz w:val="22"/>
          <w:szCs w:val="22"/>
        </w:rPr>
        <w:t xml:space="preserve">Phase 1 Diagnostic Mode operates without enforcement authority, treaty infrastructure, or a dedicated institutional home. It operates through a research consortium — universities, legal aid organizations, civil society networks — producing classification outputs that have methodological defensibility from day one and institutional authority accruing over time through demonstrated predictive validity.</w:t>
      </w:r>
    </w:p>
    <w:p>
      <w:pPr>
        <w:spacing w:before="0" w:after="160"/>
        <w:jc w:val="both"/>
      </w:pPr>
      <w:r>
        <w:rPr>
          <w:rFonts w:ascii="Georgia" w:cs="Georgia" w:eastAsia="Georgia" w:hAnsi="Georgia"/>
          <w:color w:val="1A1A1A"/>
          <w:sz w:val="22"/>
          <w:szCs w:val="22"/>
        </w:rPr>
        <w:t xml:space="preserve">The following elements are strictly required for Phase 1 operability. All other elements are deferred.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5C" w:sz="1"/>
              <w:left w:val="single" w:color="1A4A5C" w:sz="1"/>
              <w:bottom w:val="single" w:color="1A4A5C" w:sz="1"/>
              <w:right w:val="single" w:color="1A4A5C" w:sz="1"/>
            </w:tcBorders>
            <w:shd w:fill="E8F4F5" w:val="clear"/>
            <w:tcMar>
              <w:top w:type="dxa" w:w="160"/>
              <w:left w:type="dxa" w:w="240"/>
              <w:bottom w:type="dxa" w:w="160"/>
              <w:right w:type="dxa" w:w="240"/>
            </w:tcMar>
          </w:tcPr>
          <w:p>
            <w:pPr>
              <w:spacing w:before="0" w:after="80"/>
            </w:pPr>
            <w:r>
              <w:rPr>
                <w:rFonts w:ascii="Arial" w:cs="Arial" w:eastAsia="Arial" w:hAnsi="Arial"/>
                <w:b/>
                <w:bCs/>
                <w:color w:val="1A4A5C"/>
                <w:sz w:val="21"/>
                <w:szCs w:val="21"/>
              </w:rPr>
              <w:t xml:space="preserve">▶  Phase 1 Operational Core — Required Elements</w:t>
            </w:r>
          </w:p>
          <w:p>
            <w:pPr>
              <w:spacing w:before="0" w:after="60"/>
            </w:pPr>
            <w:r>
              <w:rPr>
                <w:rFonts w:ascii="Arial" w:cs="Arial" w:eastAsia="Arial" w:hAnsi="Arial"/>
                <w:b/>
                <w:bCs/>
                <w:color w:val="1A4A5C"/>
                <w:sz w:val="20"/>
                <w:szCs w:val="20"/>
              </w:rPr>
              <w:t xml:space="preserve">1. Sentinel Node Network (Minimum Viable Configuration)</w:t>
            </w:r>
          </w:p>
          <w:p>
            <w:pPr>
              <w:spacing w:before="0" w:after="80"/>
              <w:jc w:val="both"/>
            </w:pPr>
            <w:r>
              <w:rPr>
                <w:rFonts w:ascii="Georgia" w:cs="Georgia" w:eastAsia="Georgia" w:hAnsi="Georgia"/>
                <w:color w:val="1A1A1A"/>
                <w:sz w:val="22"/>
                <w:szCs w:val="22"/>
              </w:rPr>
              <w:t xml:space="preserve">Minimum: at least three independent institution types per monitored jurisdiction (preventing single-sector epistemic capture), covering all five access domains, under transparent openly-declared participation protocols with appropriate sectoral consent (IRB-compatible review where applicable). The Phase 1 sentinel network is a willing-institution coalition — universities, legal aid organizations, tenant defense groups, community health centers — not a formally constituted administrative body. Full ecology diversification (10+ institution types) is Phase 2.</w:t>
            </w:r>
          </w:p>
          <w:p>
            <w:pPr>
              <w:spacing w:before="0" w:after="60"/>
            </w:pPr>
            <w:r>
              <w:rPr>
                <w:rFonts w:ascii="Arial" w:cs="Arial" w:eastAsia="Arial" w:hAnsi="Arial"/>
                <w:b/>
                <w:bCs/>
                <w:color w:val="1A4A5C"/>
                <w:sz w:val="20"/>
                <w:szCs w:val="20"/>
              </w:rPr>
              <w:t xml:space="preserve">2. Autonomous Threshold Generator — Three-Pillar System</w:t>
            </w:r>
          </w:p>
          <w:p>
            <w:pPr>
              <w:spacing w:before="0" w:after="80"/>
              <w:jc w:val="both"/>
            </w:pPr>
            <w:r>
              <w:rPr>
                <w:rFonts w:ascii="Georgia" w:cs="Georgia" w:eastAsia="Georgia" w:hAnsi="Georgia"/>
                <w:color w:val="1A1A1A"/>
                <w:sz w:val="22"/>
                <w:szCs w:val="22"/>
              </w:rPr>
              <w:t xml:space="preserve">All three pillars (Empirical Entropy Limit, Historical High-Water Mark, Exogenous Reference Air-Gap) are required in Phase 1. The three-pillar independence is what prevents the state from controlling the threshold — removing any pillar collapses this property. The sensor independence audit is required from Phase 1 commencement to establish the baseline against which future independence degradation can be detected.</w:t>
            </w:r>
          </w:p>
          <w:p>
            <w:pPr>
              <w:spacing w:before="0" w:after="60"/>
            </w:pPr>
            <w:r>
              <w:rPr>
                <w:rFonts w:ascii="Arial" w:cs="Arial" w:eastAsia="Arial" w:hAnsi="Arial"/>
                <w:b/>
                <w:bCs/>
                <w:color w:val="1A4A5C"/>
                <w:sz w:val="20"/>
                <w:szCs w:val="20"/>
              </w:rPr>
              <w:t xml:space="preserve">3. Viability Field Computation — Core Mathematical Engine</w:t>
            </w:r>
          </w:p>
          <w:p>
            <w:pPr>
              <w:spacing w:before="0" w:after="80"/>
              <w:jc w:val="both"/>
            </w:pPr>
            <w:r>
              <w:rPr>
                <w:rFonts w:ascii="Georgia" w:cs="Georgia" w:eastAsia="Georgia" w:hAnsi="Georgia"/>
                <w:color w:val="1A1A1A"/>
                <w:sz w:val="22"/>
                <w:szCs w:val="22"/>
              </w:rPr>
              <w:t xml:space="preserve">The product formulation (Proposition 3.1), the intersectionality tensor, and the subgraph viability indices are required. Phase 1 operates at reduced resolution — representative sentinel sample rather than full population coverage — but the mathematical structure must be identical to the full architecture. Reducing resolution while maintaining mathematical structure means Phase 1 outputs are less comprehensive than Phase 2 but directly comparable, enabling the Phase 2 transition to add coverage rather than change methodology.</w:t>
            </w:r>
          </w:p>
          <w:p>
            <w:pPr>
              <w:spacing w:before="0" w:after="60"/>
            </w:pPr>
            <w:r>
              <w:rPr>
                <w:rFonts w:ascii="Arial" w:cs="Arial" w:eastAsia="Arial" w:hAnsi="Arial"/>
                <w:b/>
                <w:bCs/>
                <w:color w:val="1A4A5C"/>
                <w:sz w:val="20"/>
                <w:szCs w:val="20"/>
              </w:rPr>
              <w:t xml:space="preserve">4. Tripartite PLOL Engine</w:t>
            </w:r>
          </w:p>
          <w:p>
            <w:pPr>
              <w:spacing w:before="0" w:after="80"/>
              <w:jc w:val="both"/>
            </w:pPr>
            <w:r>
              <w:rPr>
                <w:rFonts w:ascii="Georgia" w:cs="Georgia" w:eastAsia="Georgia" w:hAnsi="Georgia"/>
                <w:color w:val="1A1A1A"/>
                <w:sz w:val="22"/>
                <w:szCs w:val="22"/>
              </w:rPr>
              <w:t xml:space="preserve">All three sequenced outputs are required. The T+0 semantic record cannot be deferred. The T+72h civic/legislative record is required — this is the output that makes Phase 1 useful to the advocacy networks that constitute AHC's Phase 1 institutional coalition. The T+30d technical record is required to build the evidentiary track record that Phase 2 court-track use depends on.</w:t>
            </w:r>
          </w:p>
          <w:p>
            <w:pPr>
              <w:spacing w:before="0" w:after="60"/>
            </w:pPr>
            <w:r>
              <w:rPr>
                <w:rFonts w:ascii="Arial" w:cs="Arial" w:eastAsia="Arial" w:hAnsi="Arial"/>
                <w:b/>
                <w:bCs/>
                <w:color w:val="1A4A5C"/>
                <w:sz w:val="20"/>
                <w:szCs w:val="20"/>
              </w:rPr>
              <w:t xml:space="preserve">5. Basic Community Contact Mechanism</w:t>
            </w:r>
          </w:p>
          <w:p>
            <w:pPr>
              <w:spacing w:before="0" w:after="80"/>
              <w:jc w:val="both"/>
            </w:pPr>
            <w:r>
              <w:rPr>
                <w:rFonts w:ascii="Georgia" w:cs="Georgia" w:eastAsia="Georgia" w:hAnsi="Georgia"/>
                <w:color w:val="1A1A1A"/>
                <w:sz w:val="22"/>
                <w:szCs w:val="22"/>
              </w:rPr>
              <w:t xml:space="preserve">Open-text primary field, 5-business-day human acknowledgment, substantive written engagement with all submissions. No dropdown categorization required from community. Human routing with logged rationale. The full routing audit trail is Phase 2; Phase 1 requires only that every contact receives a substantive response that is publicly logged.</w:t>
            </w:r>
          </w:p>
          <w:p>
            <w:pPr>
              <w:spacing w:before="0" w:after="60"/>
            </w:pPr>
            <w:r>
              <w:rPr>
                <w:rFonts w:ascii="Arial" w:cs="Arial" w:eastAsia="Arial" w:hAnsi="Arial"/>
                <w:b/>
                <w:bCs/>
                <w:color w:val="1A4A5C"/>
                <w:sz w:val="20"/>
                <w:szCs w:val="20"/>
              </w:rPr>
              <w:t xml:space="preserve">6. Classification Integrity Officer — Audit Function Only</w:t>
            </w:r>
          </w:p>
          <w:p>
            <w:pPr>
              <w:spacing w:before="0" w:after="0"/>
              <w:jc w:val="both"/>
            </w:pPr>
            <w:r>
              <w:rPr>
                <w:rFonts w:ascii="Georgia" w:cs="Georgia" w:eastAsia="Georgia" w:hAnsi="Georgia"/>
                <w:color w:val="1A1A1A"/>
                <w:sz w:val="22"/>
                <w:szCs w:val="22"/>
              </w:rPr>
              <w:t xml:space="preserve">Retrospective maintenance of hash bridges, sensor independence monitoring, and audit trails. The CIO in Phase 1 is an audit role, not a real-time duty role. No duty-officer rotation is required. Contact information in the PLOL routes to the consortium's general inquiry channel, not to a named individual. The CIO duty structure (4-hour availability window, personal contact point) is Phase 2.</w:t>
            </w:r>
          </w:p>
        </w:tc>
      </w:tr>
    </w:tbl>
    <w:p>
      <w:r>
        <w:br w:type="page"/>
      </w:r>
    </w:p>
    <w:p>
      <w:pPr>
        <w:pStyle w:val="Heading2"/>
        <w:spacing w:before="300" w:after="120"/>
      </w:pPr>
      <w:r>
        <w:rPr>
          <w:rFonts w:ascii="Arial" w:cs="Arial" w:eastAsia="Arial" w:hAnsi="Arial"/>
          <w:b/>
          <w:bCs/>
          <w:color w:val="2E6DA4"/>
          <w:sz w:val="26"/>
          <w:szCs w:val="26"/>
        </w:rPr>
        <w:t xml:space="preserve">19.6  Phase 1 Deferrals</w:t>
      </w:r>
    </w:p>
    <w:p>
      <w:pPr>
        <w:spacing w:before="0" w:after="160"/>
        <w:jc w:val="both"/>
      </w:pPr>
      <w:r>
        <w:rPr>
          <w:rFonts w:ascii="Georgia" w:cs="Georgia" w:eastAsia="Georgia" w:hAnsi="Georgia"/>
          <w:color w:val="1A1A1A"/>
          <w:sz w:val="22"/>
          <w:szCs w:val="22"/>
        </w:rPr>
        <w:t xml:space="preserve">The following elements are deferred to Phase 2 or Phase 3 because they require institutional infrastructure that Phase 1 cannot support without creating failure modes worse than the vulnerabilities they address.</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3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Deferred Element</w:t>
            </w:r>
          </w:p>
        </w:tc>
        <w:tc>
          <w:tcPr>
            <w:tcW w:type="dxa" w:w="41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Reason for Deferral</w:t>
            </w:r>
          </w:p>
        </w:tc>
        <w:tc>
          <w:tcPr>
            <w:tcW w:type="dxa" w:w="2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Phase</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Compound Event Operational Protocol</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Requires CIO duty rotation and 4-hour availability window. In Phase 1, compound events are flagged in the audit record and noted in T+72h output but no Compound Protective Hold is issued.</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Phase 2</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CIO Duty-Officer Rotation</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Requires dedicated institutional infrastructure and creates an identifiable personal attack surface before the architecture has mutual defense capacity.</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Phase 2</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Community Statistical Support Fund Administration</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Mandatory 15% Tier 1 capital routing allocation requires Phase 2 capital routing authority. Phase 1 expert review relies on pro-bono coalition networks and academic partnerships.</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Phase 2</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Formal Pause Petition Adjudication</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60-day formal adjudicatory review requires binding authority the architecture does not yet have. Phase 1 substitute: public logging with mandatory substantive written engagement (see Section 19.7).</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Phase 2</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Three-Channel Tribunal</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Requires international institutional infrastructure and treaty standing. Phase 1 substitute: published methodology open to independent replication and challenge.</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Phase 3</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Full Ecology Diversification (10+ types)</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Requires extensive coalition-building. Phase 1 minimum: 3 independent institution types per jurisdiction.</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Phase 2</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Sentinel Node Mutual Defense Protocol</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Requires Phase 2 institutional infrastructure for coordinated response capacity.</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Phase 2</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Absence-of-Signal Audit (formal)</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Requires 12-18 months of baseline calibration before statistical thresholds can be set. Phase 1: manual monitoring with qualitative flagging.</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Phase 2</w:t>
            </w:r>
          </w:p>
        </w:tc>
      </w:tr>
    </w:tbl>
    <w:p>
      <w:r>
        <w:br w:type="page"/>
      </w:r>
    </w:p>
    <w:p>
      <w:pPr>
        <w:pStyle w:val="Heading2"/>
        <w:spacing w:before="300" w:after="120"/>
      </w:pPr>
      <w:r>
        <w:rPr>
          <w:rFonts w:ascii="Arial" w:cs="Arial" w:eastAsia="Arial" w:hAnsi="Arial"/>
          <w:b/>
          <w:bCs/>
          <w:color w:val="2E6DA4"/>
          <w:sz w:val="26"/>
          <w:szCs w:val="26"/>
        </w:rPr>
        <w:t xml:space="preserve">19.7  Phase 1 Substitute Protocols</w:t>
      </w:r>
    </w:p>
    <w:p>
      <w:pPr>
        <w:spacing w:before="0" w:after="160"/>
        <w:jc w:val="both"/>
      </w:pPr>
      <w:r>
        <w:rPr>
          <w:rFonts w:ascii="Georgia" w:cs="Georgia" w:eastAsia="Georgia" w:hAnsi="Georgia"/>
          <w:color w:val="1A1A1A"/>
          <w:sz w:val="22"/>
          <w:szCs w:val="22"/>
        </w:rPr>
        <w:t xml:space="preserve">Three deferred elements require Phase 1 substitutes — interim mechanisms that preserve the essential function without the full institutional infrastructure.</w:t>
      </w:r>
    </w:p>
    <w:p>
      <w:pPr>
        <w:pStyle w:val="Heading3"/>
        <w:spacing w:before="200" w:after="80"/>
      </w:pPr>
      <w:r>
        <w:rPr>
          <w:rFonts w:ascii="Arial" w:cs="Arial" w:eastAsia="Arial" w:hAnsi="Arial"/>
          <w:b/>
          <w:bCs/>
          <w:color w:val="1B3A5C"/>
          <w:sz w:val="23"/>
          <w:szCs w:val="23"/>
        </w:rPr>
        <w:t xml:space="preserve">19.7.1  Pause Petition Substitute: Public Acknowledgment Protocol</w:t>
      </w:r>
    </w:p>
    <w:p>
      <w:pPr>
        <w:spacing w:before="0" w:after="160"/>
        <w:jc w:val="both"/>
      </w:pPr>
      <w:r>
        <w:rPr>
          <w:rFonts w:ascii="Georgia" w:cs="Georgia" w:eastAsia="Georgia" w:hAnsi="Georgia"/>
          <w:color w:val="1A1A1A"/>
          <w:sz w:val="22"/>
          <w:szCs w:val="22"/>
        </w:rPr>
        <w:t xml:space="preserve">In Phase 1, communities will file pause petitions. Formal adjudication is deferred. If petitions are simply logged as 'public dissent' with no further action, communities learn that petitioning does nothing in Phase 1 — which destroys the community trust the architecture needs to build for Phase 2 legitimacy. The Phase 1 substitute is the Public Acknowledgment Protocol: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Public Acknowledgment Protocol  Phase 1 Pause Petition Substitute</w:t>
            </w:r>
          </w:p>
          <w:p>
            <w:pPr>
              <w:spacing w:before="0" w:after="80"/>
              <w:jc w:val="both"/>
            </w:pPr>
            <w:r>
              <w:rPr>
                <w:rFonts w:ascii="Georgia" w:cs="Georgia" w:eastAsia="Georgia" w:hAnsi="Georgia"/>
                <w:color w:val="1A1A1A"/>
                <w:sz w:val="22"/>
                <w:szCs w:val="22"/>
              </w:rPr>
              <w:t xml:space="preserve">When a community files a pause petition in Phase 1, the AHC consortium publishes within 10 business days: (a) the petition text in full; (b) an explicit acknowledgment that formal adjudication is deferred pending Phase 2 authority; and (c) a substantive written engagement with the concern raised — not a decision, but a documented response demonstrating the system read and considered the petition, including whether the concern identifies a potential methodological gap and how it will be incorporated into ongoing methodology review.</w:t>
            </w:r>
          </w:p>
          <w:p>
            <w:pPr>
              <w:spacing w:before="0" w:after="0"/>
              <w:jc w:val="both"/>
            </w:pPr>
            <w:r>
              <w:rPr>
                <w:rFonts w:ascii="Georgia" w:cs="Georgia" w:eastAsia="Georgia" w:hAnsi="Georgia"/>
                <w:color w:val="1A1A1A"/>
                <w:sz w:val="22"/>
                <w:szCs w:val="22"/>
              </w:rPr>
              <w:t xml:space="preserve">All public acknowledgment records are preserved in the audit trail and are available to the Phase 2 adjudicatory body. A petition filed in Phase 1 retains its place in the queue for formal adjudication when Phase 2 authority is established — it does not need to be refiled.</w:t>
            </w:r>
          </w:p>
        </w:tc>
      </w:tr>
    </w:tbl>
    <w:p>
      <w:pPr>
        <w:pStyle w:val="Heading3"/>
        <w:spacing w:before="200" w:after="80"/>
      </w:pPr>
      <w:r>
        <w:rPr>
          <w:rFonts w:ascii="Arial" w:cs="Arial" w:eastAsia="Arial" w:hAnsi="Arial"/>
          <w:b/>
          <w:bCs/>
          <w:color w:val="1B3A5C"/>
          <w:sz w:val="23"/>
          <w:szCs w:val="23"/>
        </w:rPr>
        <w:t xml:space="preserve">19.7.2  Compound Event Phase 1 Handling</w:t>
      </w:r>
    </w:p>
    <w:p>
      <w:pPr>
        <w:spacing w:before="0" w:after="160"/>
        <w:jc w:val="both"/>
      </w:pPr>
      <w:r>
        <w:rPr>
          <w:rFonts w:ascii="Georgia" w:cs="Georgia" w:eastAsia="Georgia" w:hAnsi="Georgia"/>
          <w:color w:val="1A1A1A"/>
          <w:sz w:val="22"/>
          <w:szCs w:val="22"/>
        </w:rPr>
        <w:t xml:space="preserve">In Phase 1, when an acute event occurs in a jurisdiction under active slow-decay review, the system cannot issue a Compound Protective Hold. The Phase 1 substitute: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Compound Event Phase 1 Handling</w:t>
            </w:r>
          </w:p>
          <w:p>
            <w:pPr>
              <w:spacing w:before="0" w:after="0"/>
              <w:jc w:val="both"/>
            </w:pPr>
            <w:r>
              <w:rPr>
                <w:rFonts w:ascii="Georgia" w:cs="Georgia" w:eastAsia="Georgia" w:hAnsi="Georgia"/>
                <w:color w:val="1A1A1A"/>
                <w:sz w:val="22"/>
                <w:szCs w:val="22"/>
              </w:rPr>
              <w:t xml:space="preserve">When an acute event occurs in a Phase 1 jurisdiction with active slow-decay classification: (1) The acute event is flagged in the audit record as a potential compound event. (2) The T+72h Civic/Legislative Translation Record for the jurisdiction is updated within 24 hours to include the acute event and its potential relationship to the slow-decay pattern. (3) The community is notified that the acute event has been noted and documented in their classification record. (4) If the community has legal representation, the updated T+72h record is transmitted directly to them as potential evidence for emergency injunction filings. The Compound Protective Hold, requiring real-time CIO duty rotation, is Phase 2.</w:t>
            </w:r>
          </w:p>
        </w:tc>
      </w:tr>
    </w:tbl>
    <w:p>
      <w:pPr>
        <w:pStyle w:val="Heading3"/>
        <w:spacing w:before="200" w:after="80"/>
      </w:pPr>
      <w:r>
        <w:rPr>
          <w:rFonts w:ascii="Arial" w:cs="Arial" w:eastAsia="Arial" w:hAnsi="Arial"/>
          <w:b/>
          <w:bCs/>
          <w:color w:val="1B3A5C"/>
          <w:sz w:val="23"/>
          <w:szCs w:val="23"/>
        </w:rPr>
        <w:t xml:space="preserve">19.7.3  Expert Review: Phase 1 Coalition Model</w:t>
      </w:r>
    </w:p>
    <w:p>
      <w:pPr>
        <w:spacing w:before="0" w:after="160"/>
        <w:jc w:val="both"/>
      </w:pPr>
      <w:r>
        <w:rPr>
          <w:rFonts w:ascii="Georgia" w:cs="Georgia" w:eastAsia="Georgia" w:hAnsi="Georgia"/>
          <w:color w:val="1A1A1A"/>
          <w:sz w:val="22"/>
          <w:szCs w:val="22"/>
        </w:rPr>
        <w:t xml:space="preserve">The Community Statistical Support Fund requires Phase 2 capital routing. In Phase 1, expert review for methodology contestation is provided through a pre-negotiated coalition of pro-bono statistical reviewers — academic partners, legal aid organizations with quantitative capacity, sympathetic research institutes. The consortium maintains a standing list of pre-vetted pro-bono reviewers. When a community files a methodology challenge, the consortium identifies and connects an appropriate reviewer within 15 business days at no cost to the community. This is less reliable than the formal fund but does not require administrative infrastructure the Phase 1 consortium cannot support.</w:t>
      </w:r>
    </w:p>
    <w:p>
      <w:r>
        <w:br w:type="page"/>
      </w:r>
    </w:p>
    <w:p>
      <w:pPr>
        <w:pStyle w:val="Heading2"/>
        <w:spacing w:before="300" w:after="120"/>
      </w:pPr>
      <w:r>
        <w:rPr>
          <w:rFonts w:ascii="Arial" w:cs="Arial" w:eastAsia="Arial" w:hAnsi="Arial"/>
          <w:b/>
          <w:bCs/>
          <w:color w:val="2E6DA4"/>
          <w:sz w:val="26"/>
          <w:szCs w:val="26"/>
        </w:rPr>
        <w:t xml:space="preserve">19.8  Epistemic Authority in Phase 1</w:t>
      </w:r>
    </w:p>
    <w:p>
      <w:pPr>
        <w:spacing w:before="0" w:after="160"/>
        <w:jc w:val="both"/>
      </w:pPr>
      <w:r>
        <w:rPr>
          <w:rFonts w:ascii="Georgia" w:cs="Georgia" w:eastAsia="Georgia" w:hAnsi="Georgia"/>
          <w:color w:val="1A1A1A"/>
          <w:sz w:val="22"/>
          <w:szCs w:val="22"/>
        </w:rPr>
        <w:t xml:space="preserve">Phase 1 outputs have methodological defensibility from day one. They do not have institutional authority until it accrues through demonstrated predictive validity. This distinction must be stated honestly in all Phase 1 outputs.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FAF0F0" w:val="clear"/>
            <w:tcMar>
              <w:top w:type="dxa" w:w="160"/>
              <w:left w:type="dxa" w:w="240"/>
              <w:bottom w:type="dxa" w:w="160"/>
              <w:right w:type="dxa" w:w="240"/>
            </w:tcMar>
          </w:tcPr>
          <w:p>
            <w:pPr>
              <w:spacing w:before="0" w:after="80"/>
            </w:pPr>
            <w:r>
              <w:rPr>
                <w:rFonts w:ascii="Arial" w:cs="Arial" w:eastAsia="Arial" w:hAnsi="Arial"/>
                <w:b/>
                <w:bCs/>
                <w:color w:val="8B1A1A"/>
                <w:sz w:val="21"/>
                <w:szCs w:val="21"/>
              </w:rPr>
              <w:t xml:space="preserve">⚠  Required Epistemic Status Disclosure in All Phase 1 Outputs</w:t>
            </w:r>
          </w:p>
          <w:p>
            <w:pPr>
              <w:spacing w:before="0" w:after="0"/>
              <w:jc w:val="both"/>
            </w:pPr>
            <w:r>
              <w:rPr>
                <w:rFonts w:ascii="Georgia" w:cs="Georgia" w:eastAsia="Georgia" w:hAnsi="Georgia"/>
                <w:color w:val="1A1A1A"/>
                <w:sz w:val="22"/>
                <w:szCs w:val="22"/>
              </w:rPr>
              <w:t xml:space="preserve">All Phase 1 PLOL outputs across all three registers must include the following statement: 'This classification is produced by an independent research consortium operating in Diagnostic Mode. It does not carry binding legal authority. Its methodology is publicly documented and open to independent replication and challenge. Its evidentiary weight in any proceeding is determined by the receiving institution. Institutional authority accrues through demonstrated predictive validity over time. Citations: [published methodology documents].' This disclosure is not a disclaimer that weakens the output. It is an honest statement of the system's Phase 1 status that prevents overclaiming and protects against backlash when Phase 1 outputs are challenged on authority rather than methodology grounds.</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The IPCC did not achieve binding policy authority in year one. The Centers for Disease Control's epidemiological findings did not immediately bind state health policy. Methodological credibility precedes institutional authority in every analogous case. The T+30d Technical Reproducibility Record's open-source architecture — GitHub commits, published methodology, open replication invitation — is the mechanism by which Phase 1 builds the track record Phase 2 requires.</w:t>
      </w:r>
    </w:p>
    <w:p>
      <w:pPr>
        <w:pStyle w:val="Heading2"/>
        <w:spacing w:before="300" w:after="120"/>
      </w:pPr>
      <w:r>
        <w:rPr>
          <w:rFonts w:ascii="Arial" w:cs="Arial" w:eastAsia="Arial" w:hAnsi="Arial"/>
          <w:b/>
          <w:bCs/>
          <w:color w:val="2E6DA4"/>
          <w:sz w:val="26"/>
          <w:szCs w:val="26"/>
        </w:rPr>
        <w:t xml:space="preserve">19.9  The Complexity Ceiling</w:t>
      </w:r>
    </w:p>
    <w:p>
      <w:pPr>
        <w:spacing w:before="0" w:after="160"/>
        <w:jc w:val="both"/>
      </w:pPr>
      <w:r>
        <w:rPr>
          <w:rFonts w:ascii="Georgia" w:cs="Georgia" w:eastAsia="Georgia" w:hAnsi="Georgia"/>
          <w:color w:val="1A1A1A"/>
          <w:sz w:val="22"/>
          <w:szCs w:val="22"/>
        </w:rPr>
        <w:t xml:space="preserve">This addition is the last major specification addition to Companion A before external circulation. The research program has identified a ceiling beyond which further specification increases implementation burden faster than it increases protective capacity. The MVA analysis is the program's formal acknowledgment of that ceiling.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19"/>
                <w:szCs w:val="19"/>
              </w:rPr>
              <w:t xml:space="preserve">Principle 19.2 — Complexity Ceiling</w:t>
            </w:r>
          </w:p>
        </w:tc>
        <w:tc>
          <w:tcPr>
            <w:tcW w:type="dxa" w:w="7360"/>
            <w:tcBorders>
              <w:top w:val="single" w:color="1B3A5C" w:sz="1"/>
              <w:left w:val="single" w:color="1B3A5C" w:sz="1"/>
              <w:bottom w:val="single" w:color="1B3A5C" w:sz="1"/>
              <w:right w:val="single" w:color="1B3A5C" w:sz="1"/>
            </w:tcBorders>
            <w:shd w:fill="F5F7FA" w:val="clear"/>
            <w:tcMar>
              <w:top w:type="dxa" w:w="100"/>
              <w:left w:type="dxa" w:w="200"/>
              <w:bottom w:type="dxa" w:w="100"/>
              <w:right w:type="dxa" w:w="160"/>
            </w:tcMar>
          </w:tcPr>
          <w:p>
            <w:pPr>
              <w:spacing w:before="0" w:after="0"/>
              <w:jc w:val="both"/>
            </w:pPr>
            <w:r>
              <w:rPr>
                <w:rFonts w:ascii="Georgia" w:cs="Georgia" w:eastAsia="Georgia" w:hAnsi="Georgia"/>
                <w:color w:val="1A1A1A"/>
                <w:sz w:val="22"/>
                <w:szCs w:val="22"/>
              </w:rPr>
              <w:t xml:space="preserve">No further specification additions to Companion A are warranted before Phase 1 external circulation and independent specialist review. The architecture is now more precise than any institution that will implement it in Phase 1. Future additions should follow, not precede, the empirical evidence of Phase 1 deployment. The fictionality simulation method (Open Problem H.6.3) provides the instrument for generating that evidence.</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Appendix B (Revised) — PLOL Tripartite Output Specification</w:t>
      </w:r>
    </w:p>
    <w:p>
      <w:pPr>
        <w:spacing w:before="0" w:after="160"/>
        <w:jc w:val="both"/>
      </w:pPr>
      <w:r>
        <w:rPr>
          <w:rFonts w:ascii="Georgia" w:cs="Georgia" w:eastAsia="Georgia" w:hAnsi="Georgia"/>
          <w:color w:val="1A1A1A"/>
          <w:sz w:val="22"/>
          <w:szCs w:val="22"/>
        </w:rPr>
        <w:t xml:space="preserve">This appendix supersedes the Appendix B specification in Companion A v3. All prior content is retained where not in conflict. The primary revision is the addition of the Civic/Legislative Translation Record as the second of three sequenced outputs, and the Consistency Statement requirement across all three registers.</w:t>
      </w:r>
    </w:p>
    <w:p>
      <w:pPr>
        <w:pStyle w:val="Heading2"/>
        <w:spacing w:before="300" w:after="120"/>
      </w:pPr>
      <w:r>
        <w:rPr>
          <w:rFonts w:ascii="Arial" w:cs="Arial" w:eastAsia="Arial" w:hAnsi="Arial"/>
          <w:b/>
          <w:bCs/>
          <w:color w:val="2E6DA4"/>
          <w:sz w:val="26"/>
          <w:szCs w:val="26"/>
        </w:rPr>
        <w:t xml:space="preserve">B.1  General Structure</w:t>
      </w:r>
    </w:p>
    <w:p>
      <w:pPr>
        <w:spacing w:before="0" w:after="160"/>
        <w:jc w:val="both"/>
      </w:pPr>
      <w:r>
        <w:rPr>
          <w:rFonts w:ascii="Georgia" w:cs="Georgia" w:eastAsia="Georgia" w:hAnsi="Georgia"/>
          <w:color w:val="1A1A1A"/>
          <w:sz w:val="22"/>
          <w:szCs w:val="22"/>
        </w:rPr>
        <w:t xml:space="preserve">Every rights-affecting AHC classification generates three linked records in the sequence: Semantic Contestability Record (T+0), Civic/Legislative Translation Record (T+72h), and Technical Reproducibility Record (T+30d). All three records are cryptographically hash-bridged to the same underlying classification event. The non-equivalence rule is unchanged: no register may substitute for another, and the existence of a later register does not excuse omissions from an earlier one.</w:t>
      </w:r>
    </w:p>
    <w:p>
      <w:pPr>
        <w:pStyle w:val="Heading2"/>
        <w:spacing w:before="300" w:after="120"/>
      </w:pPr>
      <w:r>
        <w:rPr>
          <w:rFonts w:ascii="Arial" w:cs="Arial" w:eastAsia="Arial" w:hAnsi="Arial"/>
          <w:b/>
          <w:bCs/>
          <w:color w:val="2E6DA4"/>
          <w:sz w:val="26"/>
          <w:szCs w:val="26"/>
        </w:rPr>
        <w:t xml:space="preserve">B.2  Register 1 — Semantic Contestability Record (T+0)</w:t>
      </w:r>
    </w:p>
    <w:p>
      <w:pPr>
        <w:spacing w:before="0" w:after="160"/>
        <w:jc w:val="both"/>
      </w:pPr>
      <w:r>
        <w:rPr>
          <w:rFonts w:ascii="Georgia" w:cs="Georgia" w:eastAsia="Georgia" w:hAnsi="Georgia"/>
          <w:color w:val="1A1A1A"/>
          <w:sz w:val="22"/>
          <w:szCs w:val="22"/>
        </w:rPr>
        <w:t xml:space="preserve">Generated automatically at threshold breach. No operator intervention permitted before generation.</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3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41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Required Content</w:t>
            </w:r>
          </w:p>
        </w:tc>
        <w:tc>
          <w:tcPr>
            <w:tcW w:type="dxa" w:w="2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Classification label and tier</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Current classification status in plain terms</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No jargon</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Date, jurisdiction, affected cohort</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When, where, who</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Jurisdiction identifier, not address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Plain-language reason</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What happened and why it matters</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No tensor notation</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WHAT THIS SYSTEM CAN AND CANNOT SEE</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Uncertainty statement: estimated capture rate for informal harms in this domain</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Required — see Section 5.2 Field A</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WHAT THIS CLASSIFICATION DOES NOT DO RIGHT NOW</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Immediate limitation disclosure: explicit statement that classification does not stop harms in progress; immediate resource list</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Required — see Section 5.2 Field B</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Falsification condition</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What evidence would change this classification in plain language</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Must be statable without expert resources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HOW TO EXERCISE THIS RIGHT</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Resource access field: where to get expert help; pro-bono coalition contact in Phase 1</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Required — see Section 5.2 Field C</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Review channels available</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What the community can do; duty contact channel</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Phase 1: consortium general inquiry channel</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Consistency Statement</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Why this record looks different from the other two registers</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Mandatory — see Principle 19.1</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Layer 0B footer (revised)</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Category + scope limitation + active pathway</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See Section 4.2</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Hash reference</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Link to T+72h and T+30d records</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All three linked bidirectionally</w:t>
            </w:r>
          </w:p>
        </w:tc>
      </w:tr>
    </w:tbl>
    <w:p>
      <w:pPr>
        <w:pStyle w:val="Heading2"/>
        <w:spacing w:before="300" w:after="120"/>
      </w:pPr>
      <w:r>
        <w:rPr>
          <w:rFonts w:ascii="Arial" w:cs="Arial" w:eastAsia="Arial" w:hAnsi="Arial"/>
          <w:b/>
          <w:bCs/>
          <w:color w:val="2E6DA4"/>
          <w:sz w:val="26"/>
          <w:szCs w:val="26"/>
        </w:rPr>
        <w:t xml:space="preserve">B.3  Register 2 — Civic/Legislative Translation Record (T+72h)</w:t>
      </w:r>
    </w:p>
    <w:p>
      <w:pPr>
        <w:spacing w:before="0" w:after="160"/>
        <w:jc w:val="both"/>
      </w:pPr>
      <w:r>
        <w:rPr>
          <w:rFonts w:ascii="Georgia" w:cs="Georgia" w:eastAsia="Georgia" w:hAnsi="Georgia"/>
          <w:color w:val="1A1A1A"/>
          <w:sz w:val="22"/>
          <w:szCs w:val="22"/>
        </w:rPr>
        <w:t xml:space="preserve">Generated within 72 hours of T+0. Serves civil society organizations, NGO advocates, community organizers, and legislative staff. Targets the Administrative Procedure Act arbitrary-and-capricious standard. Full specification in Appendix I.</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3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41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Required Content</w:t>
            </w:r>
          </w:p>
        </w:tc>
        <w:tc>
          <w:tcPr>
            <w:tcW w:type="dxa" w:w="2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Classification summary</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Brief restatement of T+0 classification in policy-oriented language</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Connects to T+0 for readers who have seen it</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Administrative Mechanics Mapping</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Specific statutory or regulatory instruments cited with full reference</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See Appendix I Section I.2</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Temporal Granger Linkage</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Demonstration that viability collapse followed policy implementation; pre-trend stability documentation</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See Appendix I Section I.3</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Rational Explanation Failure</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Gap between stated policy intent and documented viability outcome</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See Appendix I Section I.4 — the APA hook</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Advocacy action pathways</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Specific actions civil society actors can take in the current jurisdiction: who to contact, what to file, which legal vehicles apply</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Jurisdiction-specific; updated as legal landscape evolves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Consistency Statement</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Why this record looks different from the T+0 and T+30d registers</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Mandatory — see Principle 19.1</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Hash references</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Links to T+0 and T+30d records</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All three linked bidirectionally</w:t>
            </w:r>
          </w:p>
        </w:tc>
      </w:tr>
    </w:tbl>
    <w:p>
      <w:pPr>
        <w:pStyle w:val="Heading2"/>
        <w:spacing w:before="300" w:after="120"/>
      </w:pPr>
      <w:r>
        <w:rPr>
          <w:rFonts w:ascii="Arial" w:cs="Arial" w:eastAsia="Arial" w:hAnsi="Arial"/>
          <w:b/>
          <w:bCs/>
          <w:color w:val="2E6DA4"/>
          <w:sz w:val="26"/>
          <w:szCs w:val="26"/>
        </w:rPr>
        <w:t xml:space="preserve">B.4  Register 3 — Technical Reproducibility Record (T+30d)</w:t>
      </w:r>
    </w:p>
    <w:p>
      <w:pPr>
        <w:spacing w:before="0" w:after="160"/>
        <w:jc w:val="both"/>
      </w:pPr>
      <w:r>
        <w:rPr>
          <w:rFonts w:ascii="Georgia" w:cs="Georgia" w:eastAsia="Georgia" w:hAnsi="Georgia"/>
          <w:color w:val="1A1A1A"/>
          <w:sz w:val="22"/>
          <w:szCs w:val="22"/>
        </w:rPr>
        <w:t xml:space="preserve">Generated within 30 days of T+0. Serves courts, expert challengers, and methodology auditors. Targets the Daubert standard for scientific reliability. Content unchanged from prior specification except for the addition of the Consistency Statement and bidirectional hash links.</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652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652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Required Content</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Model family and version</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Exact version identifier; GitHub commit hash for the model used</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Parameter state identifier</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ATG pillar outputs; threshold values used in this classification</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Input provenance ledger</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Node contribution classes; sensor independence scores at time of classification</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Differential privacy budget</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ε values by domain; confidence intervals on φ_{kl}(t)</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Evidence tier justification</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Why this classification is at its stated tier; what additional evidence would upgrade it</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Causal identification variables</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Stage 1-3 identification results where applicable; parallel trends test outcomes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Uncertainty budget declaration</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Full uncertainty breakdown including soft-harm capture probability</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Alert history</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Prior classifications for this jurisdiction; trajectory of φ_{kl}(t) over time</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Consistency Statement</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Why this record looks different from T+0 and T+72h registers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Hash links</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Bidirectional links to T+0 and T+72h records</w:t>
            </w:r>
          </w:p>
        </w:tc>
      </w:tr>
    </w:tbl>
    <w:p>
      <w:pPr>
        <w:pStyle w:val="Heading2"/>
        <w:spacing w:before="300" w:after="120"/>
      </w:pPr>
      <w:r>
        <w:rPr>
          <w:rFonts w:ascii="Arial" w:cs="Arial" w:eastAsia="Arial" w:hAnsi="Arial"/>
          <w:b/>
          <w:bCs/>
          <w:color w:val="2E6DA4"/>
          <w:sz w:val="26"/>
          <w:szCs w:val="26"/>
        </w:rPr>
        <w:t xml:space="preserve">B.5  PLOL Failure Conditions (Revised)</w:t>
      </w:r>
    </w:p>
    <w:p>
      <w:pPr>
        <w:spacing w:before="0" w:after="160"/>
        <w:jc w:val="both"/>
      </w:pPr>
      <w:r>
        <w:rPr>
          <w:rFonts w:ascii="Georgia" w:cs="Georgia" w:eastAsia="Georgia" w:hAnsi="Georgia"/>
          <w:color w:val="1A1A1A"/>
          <w:sz w:val="22"/>
          <w:szCs w:val="22"/>
        </w:rPr>
        <w:t xml:space="preserve">PLOL fails constitutional sufficiency if any of the following conditions are present in any register: cannot be understood by its primary audience without expert assistance; omits falsification pathways; materially diverges from linked registers without a Consistency Statement explaining the divergence; omits the uncertainty statement; omits the immediate limitation disclosure; omits the resource access field where the falsification condition requires expert resources; omits the Consistency Statement; or contains a Layer 0B footer that fails the three-component standard.</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Appendix I — Policy Attribution Standard</w:t>
      </w:r>
    </w:p>
    <w:p>
      <w:pPr>
        <w:spacing w:before="0" w:after="160"/>
        <w:jc w:val="both"/>
      </w:pPr>
      <w:r>
        <w:rPr>
          <w:rFonts w:ascii="Georgia" w:cs="Georgia" w:eastAsia="Georgia" w:hAnsi="Georgia"/>
          <w:color w:val="1A1A1A"/>
          <w:sz w:val="22"/>
          <w:szCs w:val="22"/>
        </w:rPr>
        <w:t xml:space="preserve">This appendix specifies the evidentiary methodology for the Civic/Legislative Translation Record (T+72h). The record makes policy causal attribution claims designed for civil society advocacy and administrative law challenge. It targets the Administrative Procedure Act (APA) standard — courts may strike down agency actions that are 'arbitrary, capricious, an abuse of discretion, or otherwise not in accordance with law' — rather than the Daubert standard of the T+30d technical record.</w:t>
      </w:r>
    </w:p>
    <w:p>
      <w:pPr>
        <w:spacing w:before="0" w:after="160"/>
        <w:jc w:val="both"/>
      </w:pPr>
      <w:r>
        <w:rPr>
          <w:rFonts w:ascii="Georgia" w:cs="Georgia" w:eastAsia="Georgia" w:hAnsi="Georgia"/>
          <w:color w:val="1A1A1A"/>
          <w:sz w:val="22"/>
          <w:szCs w:val="22"/>
        </w:rPr>
        <w:t xml:space="preserve">The APA standard is the correct vehicle because it does not require proving discriminatory intent (the hardest legal standard) or full scientific reproducibility (the Daubert standard). It requires demonstrating that the agency's stated rationale for a policy is contradicted by the evidence of its outcomes — which is precisely what the AHC viability field computation is designed to produce.</w:t>
      </w:r>
    </w:p>
    <w:p>
      <w:pPr>
        <w:pStyle w:val="Heading2"/>
        <w:spacing w:before="300" w:after="120"/>
      </w:pPr>
      <w:r>
        <w:rPr>
          <w:rFonts w:ascii="Arial" w:cs="Arial" w:eastAsia="Arial" w:hAnsi="Arial"/>
          <w:b/>
          <w:bCs/>
          <w:color w:val="2E6DA4"/>
          <w:sz w:val="26"/>
          <w:szCs w:val="26"/>
        </w:rPr>
        <w:t xml:space="preserve">I.1  The APA Hook — Core Logic</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00" w:sz="1"/>
              <w:left w:val="single" w:color="5C3A00" w:sz="1"/>
              <w:bottom w:val="single" w:color="5C3A00" w:sz="1"/>
              <w:right w:val="single" w:color="5C3A00" w:sz="1"/>
            </w:tcBorders>
            <w:shd w:fill="FFF8E8" w:val="clear"/>
            <w:tcMar>
              <w:top w:type="dxa" w:w="160"/>
              <w:left w:type="dxa" w:w="240"/>
              <w:bottom w:type="dxa" w:w="160"/>
              <w:right w:type="dxa" w:w="240"/>
            </w:tcMar>
          </w:tcPr>
          <w:p>
            <w:pPr>
              <w:spacing w:before="0" w:after="80"/>
            </w:pPr>
            <w:r>
              <w:rPr>
                <w:rFonts w:ascii="Arial" w:cs="Arial" w:eastAsia="Arial" w:hAnsi="Arial"/>
                <w:b/>
                <w:bCs/>
                <w:color w:val="5C3A00"/>
                <w:sz w:val="21"/>
                <w:szCs w:val="21"/>
              </w:rPr>
              <w:t xml:space="preserve">◆  The Rational Explanation Failure</w:t>
            </w:r>
          </w:p>
          <w:p>
            <w:pPr>
              <w:spacing w:before="0" w:after="80"/>
              <w:jc w:val="both"/>
            </w:pPr>
            <w:r>
              <w:rPr>
                <w:rFonts w:ascii="Georgia" w:cs="Georgia" w:eastAsia="Georgia" w:hAnsi="Georgia"/>
                <w:color w:val="1A1A1A"/>
                <w:sz w:val="22"/>
                <w:szCs w:val="22"/>
              </w:rPr>
              <w:t xml:space="preserve">The APA hook rests on a specific legal vulnerability: when an agency implements a policy with a stated rationale (public safety, fiscal efficiency, administrative simplification), and the viability field computation demonstrates that the policy's documented outcomes are inconsistent with that rationale for a specific demographic subgraph, the agency has failed to provide a rational explanation connecting its stated purpose to its actual effects. This is an APA arbitrary-and-capricious violation independent of whether the agency intended the harm.</w:t>
            </w:r>
          </w:p>
          <w:p>
            <w:pPr>
              <w:spacing w:before="0" w:after="0"/>
              <w:jc w:val="both"/>
            </w:pPr>
            <w:r>
              <w:rPr>
                <w:rFonts w:ascii="Georgia" w:cs="Georgia" w:eastAsia="Georgia" w:hAnsi="Georgia"/>
                <w:color w:val="1A1A1A"/>
                <w:sz w:val="22"/>
                <w:szCs w:val="22"/>
              </w:rPr>
              <w:t xml:space="preserve">The T+72h record documents this gap. It does not need to prove the agency acted with discriminatory intent. It needs to show: (1) what the agency said the policy would do; (2) what the viability field shows the policy actually did for the affected subgraph; (3) that the gap between stated and actual outcomes is not accounted for in any publicly available administrative record. This three-part documentation is the APA hook that advocates bring to administrative hearings and courts.</w:t>
            </w:r>
          </w:p>
        </w:tc>
      </w:tr>
    </w:tbl>
    <w:p>
      <w:pPr>
        <w:pStyle w:val="Heading2"/>
        <w:spacing w:before="300" w:after="120"/>
      </w:pPr>
      <w:r>
        <w:rPr>
          <w:rFonts w:ascii="Arial" w:cs="Arial" w:eastAsia="Arial" w:hAnsi="Arial"/>
          <w:b/>
          <w:bCs/>
          <w:color w:val="2E6DA4"/>
          <w:sz w:val="26"/>
          <w:szCs w:val="26"/>
        </w:rPr>
        <w:t xml:space="preserve">I.2  Administrative Mechanics Mapping</w:t>
      </w:r>
    </w:p>
    <w:p>
      <w:pPr>
        <w:spacing w:before="0" w:after="160"/>
        <w:jc w:val="both"/>
      </w:pPr>
      <w:r>
        <w:rPr>
          <w:rFonts w:ascii="Georgia" w:cs="Georgia" w:eastAsia="Georgia" w:hAnsi="Georgia"/>
          <w:color w:val="1A1A1A"/>
          <w:sz w:val="22"/>
          <w:szCs w:val="22"/>
        </w:rPr>
        <w:t xml:space="preserve">The T+72h record must cite the specific legal instrument that altered the routing conditions for the affected access domain. Routing conditions are altered by: statutes, ordinances, regulations, administrative guidance documents, enforcement priority memoranda, budget allocations, or formal policy changes at any level of government.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Administrative Mechanics Mapping — Required Elements</w:t>
            </w:r>
          </w:p>
          <w:p>
            <w:pPr>
              <w:pStyle w:val="ListParagraph"/>
              <w:numPr>
                <w:ilvl w:val="0"/>
                <w:numId w:val="2"/>
              </w:numPr>
              <w:spacing w:before="40" w:after="60"/>
            </w:pPr>
            <w:r>
              <w:rPr>
                <w:rFonts w:ascii="Georgia" w:cs="Georgia" w:eastAsia="Georgia" w:hAnsi="Georgia"/>
                <w:b/>
                <w:bCs/>
                <w:color w:val="1A1A1A"/>
                <w:sz w:val="22"/>
                <w:szCs w:val="22"/>
              </w:rPr>
              <w:t xml:space="preserve">Full legal citation: </w:t>
            </w:r>
            <w:r>
              <w:rPr>
                <w:rFonts w:ascii="Georgia" w:cs="Georgia" w:eastAsia="Georgia" w:hAnsi="Georgia"/>
                <w:color w:val="1A1A1A"/>
                <w:sz w:val="22"/>
                <w:szCs w:val="22"/>
              </w:rPr>
              <w:t xml:space="preserve">Statute, ordinance, or rule identified by name, code section, and effective date. Example: 'City of X Zoning Ordinance 4B (amended [date], effective [date]), codified at [section].'</w:t>
            </w:r>
          </w:p>
          <w:p>
            <w:pPr>
              <w:pStyle w:val="ListParagraph"/>
              <w:numPr>
                <w:ilvl w:val="0"/>
                <w:numId w:val="2"/>
              </w:numPr>
              <w:spacing w:before="40" w:after="60"/>
            </w:pPr>
            <w:r>
              <w:rPr>
                <w:rFonts w:ascii="Georgia" w:cs="Georgia" w:eastAsia="Georgia" w:hAnsi="Georgia"/>
                <w:b/>
                <w:bCs/>
                <w:color w:val="1A1A1A"/>
                <w:sz w:val="22"/>
                <w:szCs w:val="22"/>
              </w:rPr>
              <w:t xml:space="preserve">Implementation mechanism: </w:t>
            </w:r>
            <w:r>
              <w:rPr>
                <w:rFonts w:ascii="Georgia" w:cs="Georgia" w:eastAsia="Georgia" w:hAnsi="Georgia"/>
                <w:color w:val="1A1A1A"/>
                <w:sz w:val="22"/>
                <w:szCs w:val="22"/>
              </w:rPr>
              <w:t xml:space="preserve">The specific operational pathway by which this instrument altered access conditions for the affected subgraph. Example: 'Section 4B(ii) removes the requirement that developers provide affordable units in rezoned areas, which removed a constraint on rent increases in affected census tracts.'</w:t>
            </w:r>
          </w:p>
          <w:p>
            <w:pPr>
              <w:pStyle w:val="ListParagraph"/>
              <w:numPr>
                <w:ilvl w:val="0"/>
                <w:numId w:val="2"/>
              </w:numPr>
              <w:spacing w:before="40" w:after="60"/>
            </w:pPr>
            <w:r>
              <w:rPr>
                <w:rFonts w:ascii="Georgia" w:cs="Georgia" w:eastAsia="Georgia" w:hAnsi="Georgia"/>
                <w:b/>
                <w:bCs/>
                <w:color w:val="1A1A1A"/>
                <w:sz w:val="22"/>
                <w:szCs w:val="22"/>
              </w:rPr>
              <w:t xml:space="preserve">Stated rationale: </w:t>
            </w:r>
            <w:r>
              <w:rPr>
                <w:rFonts w:ascii="Georgia" w:cs="Georgia" w:eastAsia="Georgia" w:hAnsi="Georgia"/>
                <w:color w:val="1A1A1A"/>
                <w:sz w:val="22"/>
                <w:szCs w:val="22"/>
              </w:rPr>
              <w:t xml:space="preserve">The agency's documented justification for the instrument, drawn from the administrative record (legislative history, agency comments, public statements). This is what the Rational Explanation Failure will be measured against.</w:t>
            </w:r>
          </w:p>
          <w:p>
            <w:pPr>
              <w:pStyle w:val="ListParagraph"/>
              <w:numPr>
                <w:ilvl w:val="0"/>
                <w:numId w:val="2"/>
              </w:numPr>
              <w:spacing w:before="40" w:after="60"/>
            </w:pPr>
            <w:r>
              <w:rPr>
                <w:rFonts w:ascii="Georgia" w:cs="Georgia" w:eastAsia="Georgia" w:hAnsi="Georgia"/>
                <w:b/>
                <w:bCs/>
                <w:color w:val="1A1A1A"/>
                <w:sz w:val="22"/>
                <w:szCs w:val="22"/>
              </w:rPr>
              <w:t xml:space="preserve">Routing table effect: </w:t>
            </w:r>
            <w:r>
              <w:rPr>
                <w:rFonts w:ascii="Georgia" w:cs="Georgia" w:eastAsia="Georgia" w:hAnsi="Georgia"/>
                <w:color w:val="1A1A1A"/>
                <w:sz w:val="22"/>
                <w:szCs w:val="22"/>
              </w:rPr>
              <w:t xml:space="preserve">How the instrument changed the constitutional routing table for V_{kl} nodes — what access conditions existed before and after the instrument's effective date.</w:t>
            </w:r>
          </w:p>
        </w:tc>
      </w:tr>
    </w:tbl>
    <w:p>
      <w:pPr>
        <w:pStyle w:val="Heading2"/>
        <w:spacing w:before="300" w:after="120"/>
      </w:pPr>
      <w:r>
        <w:rPr>
          <w:rFonts w:ascii="Arial" w:cs="Arial" w:eastAsia="Arial" w:hAnsi="Arial"/>
          <w:b/>
          <w:bCs/>
          <w:color w:val="2E6DA4"/>
          <w:sz w:val="26"/>
          <w:szCs w:val="26"/>
        </w:rPr>
        <w:t xml:space="preserve">I.3  Temporal Granger Linkage</w:t>
      </w:r>
    </w:p>
    <w:p>
      <w:pPr>
        <w:spacing w:before="0" w:after="160"/>
        <w:jc w:val="both"/>
      </w:pPr>
      <w:r>
        <w:rPr>
          <w:rFonts w:ascii="Georgia" w:cs="Georgia" w:eastAsia="Georgia" w:hAnsi="Georgia"/>
          <w:color w:val="1A1A1A"/>
          <w:sz w:val="22"/>
          <w:szCs w:val="22"/>
        </w:rPr>
        <w:t xml:space="preserve">The T+72h record demonstrates that the viability collapse in the affected subgraph followed the policy instrument's effective date. This is not a causal proof — it is a temporal association that, combined with the Administrative Mechanics Mapping, supports the inference of a policy-driven routing change.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Temporal Granger Linkage — Required Documentation</w:t>
            </w:r>
          </w:p>
          <w:p>
            <w:pPr>
              <w:pStyle w:val="ListParagraph"/>
              <w:numPr>
                <w:ilvl w:val="0"/>
                <w:numId w:val="2"/>
              </w:numPr>
              <w:spacing w:before="40" w:after="60"/>
            </w:pPr>
            <w:r>
              <w:rPr>
                <w:rFonts w:ascii="Georgia" w:cs="Georgia" w:eastAsia="Georgia" w:hAnsi="Georgia"/>
                <w:b/>
                <w:bCs/>
                <w:color w:val="1A1A1A"/>
                <w:sz w:val="22"/>
                <w:szCs w:val="22"/>
              </w:rPr>
              <w:t xml:space="preserve">Pre-trend stability: </w:t>
            </w:r>
            <w:r>
              <w:rPr>
                <w:rFonts w:ascii="Georgia" w:cs="Georgia" w:eastAsia="Georgia" w:hAnsi="Georgia"/>
                <w:color w:val="1A1A1A"/>
                <w:sz w:val="22"/>
                <w:szCs w:val="22"/>
              </w:rPr>
              <w:t xml:space="preserve">Documentation that the affected subgraph's trajectory was stable or improving in the period before the policy instrument's effective date. Minimum pre-period: 12 months. Source: φ_{kl}(t) time series from sentinel node data.</w:t>
            </w:r>
          </w:p>
          <w:p>
            <w:pPr>
              <w:pStyle w:val="ListParagraph"/>
              <w:numPr>
                <w:ilvl w:val="0"/>
                <w:numId w:val="2"/>
              </w:numPr>
              <w:spacing w:before="40" w:after="60"/>
            </w:pPr>
            <w:r>
              <w:rPr>
                <w:rFonts w:ascii="Georgia" w:cs="Georgia" w:eastAsia="Georgia" w:hAnsi="Georgia"/>
                <w:b/>
                <w:bCs/>
                <w:color w:val="1A1A1A"/>
                <w:sz w:val="22"/>
                <w:szCs w:val="22"/>
              </w:rPr>
              <w:t xml:space="preserve">Post-implementation change: </w:t>
            </w:r>
            <w:r>
              <w:rPr>
                <w:rFonts w:ascii="Georgia" w:cs="Georgia" w:eastAsia="Georgia" w:hAnsi="Georgia"/>
                <w:color w:val="1A1A1A"/>
                <w:sz w:val="22"/>
                <w:szCs w:val="22"/>
              </w:rPr>
              <w:t xml:space="preserve">Documentation of viability trajectory change following the effective date. The change must be: (a) present in the affected subgraph; (b) not present in matched comparison subgraphs not subject to the instrument; (c) temporally associated with the instrument's effective date rather than a prior or subsequent date.</w:t>
            </w:r>
          </w:p>
          <w:p>
            <w:pPr>
              <w:pStyle w:val="ListParagraph"/>
              <w:numPr>
                <w:ilvl w:val="0"/>
                <w:numId w:val="2"/>
              </w:numPr>
              <w:spacing w:before="40" w:after="60"/>
            </w:pPr>
            <w:r>
              <w:rPr>
                <w:rFonts w:ascii="Georgia" w:cs="Georgia" w:eastAsia="Georgia" w:hAnsi="Georgia"/>
                <w:b/>
                <w:bCs/>
                <w:color w:val="1A1A1A"/>
                <w:sz w:val="22"/>
                <w:szCs w:val="22"/>
              </w:rPr>
              <w:t xml:space="preserve">Stability caveat: </w:t>
            </w:r>
            <w:r>
              <w:rPr>
                <w:rFonts w:ascii="Georgia" w:cs="Georgia" w:eastAsia="Georgia" w:hAnsi="Georgia"/>
                <w:color w:val="1A1A1A"/>
                <w:sz w:val="22"/>
                <w:szCs w:val="22"/>
              </w:rPr>
              <w:t xml:space="preserve">The record must explicitly state: 'The following temporal association does not constitute proof of causation. It constitutes evidence that the viability collapse is temporally consistent with the policy instrument's implementation and inconsistent with other concurrent policy changes, supporting the inference documented in Section I.4.'</w:t>
            </w:r>
          </w:p>
          <w:p>
            <w:pPr>
              <w:pStyle w:val="ListParagraph"/>
              <w:numPr>
                <w:ilvl w:val="0"/>
                <w:numId w:val="2"/>
              </w:numPr>
              <w:spacing w:before="40" w:after="60"/>
            </w:pPr>
            <w:r>
              <w:rPr>
                <w:rFonts w:ascii="Georgia" w:cs="Georgia" w:eastAsia="Georgia" w:hAnsi="Georgia"/>
                <w:b/>
                <w:bCs/>
                <w:color w:val="1A1A1A"/>
                <w:sz w:val="22"/>
                <w:szCs w:val="22"/>
              </w:rPr>
              <w:t xml:space="preserve">Confound documentation: </w:t>
            </w:r>
            <w:r>
              <w:rPr>
                <w:rFonts w:ascii="Georgia" w:cs="Georgia" w:eastAsia="Georgia" w:hAnsi="Georgia"/>
                <w:color w:val="1A1A1A"/>
                <w:sz w:val="22"/>
                <w:szCs w:val="22"/>
              </w:rPr>
              <w:t xml:space="preserve">Identification of concurrent policy changes that could alternatively explain the trajectory change, with a brief assessment of why each identified confound is unlikely to be the primary driver. Unacknowledged confounds are the primary attack surface for hostile respondents.</w:t>
            </w:r>
          </w:p>
        </w:tc>
      </w:tr>
    </w:tbl>
    <w:p>
      <w:pPr>
        <w:pStyle w:val="Heading2"/>
        <w:spacing w:before="300" w:after="120"/>
      </w:pPr>
      <w:r>
        <w:rPr>
          <w:rFonts w:ascii="Arial" w:cs="Arial" w:eastAsia="Arial" w:hAnsi="Arial"/>
          <w:b/>
          <w:bCs/>
          <w:color w:val="2E6DA4"/>
          <w:sz w:val="26"/>
          <w:szCs w:val="26"/>
        </w:rPr>
        <w:t xml:space="preserve">I.4  Rational Explanation Failure Documentation</w:t>
      </w:r>
    </w:p>
    <w:p>
      <w:pPr>
        <w:spacing w:before="0" w:after="160"/>
        <w:jc w:val="both"/>
      </w:pPr>
      <w:r>
        <w:rPr>
          <w:rFonts w:ascii="Georgia" w:cs="Georgia" w:eastAsia="Georgia" w:hAnsi="Georgia"/>
          <w:color w:val="1A1A1A"/>
          <w:sz w:val="22"/>
          <w:szCs w:val="22"/>
        </w:rPr>
        <w:t xml:space="preserve">This is the core of the APA hook. The T+72h record juxtaposes the agency's stated rationale against the documented viability outcome for the affected subgraph.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Rational Explanation Failure  Appendix I.4 — The APA Core</w:t>
            </w:r>
          </w:p>
          <w:p>
            <w:pPr>
              <w:spacing w:before="0" w:after="80"/>
            </w:pPr>
            <w:r>
              <w:rPr>
                <w:rFonts w:ascii="Georgia" w:cs="Georgia" w:eastAsia="Georgia" w:hAnsi="Georgia"/>
                <w:color w:val="1A1A1A"/>
                <w:sz w:val="22"/>
                <w:szCs w:val="22"/>
              </w:rPr>
              <w:t xml:space="preserve">The Rational Explanation Failure is documented as a three-part juxtaposition:</w:t>
            </w:r>
          </w:p>
          <w:p>
            <w:pPr>
              <w:pStyle w:val="ListParagraph"/>
              <w:numPr>
                <w:ilvl w:val="0"/>
                <w:numId w:val="2"/>
              </w:numPr>
              <w:spacing w:before="40" w:after="60"/>
            </w:pPr>
            <w:r>
              <w:rPr>
                <w:rFonts w:ascii="Georgia" w:cs="Georgia" w:eastAsia="Georgia" w:hAnsi="Georgia"/>
                <w:b/>
                <w:bCs/>
                <w:color w:val="1A1A1A"/>
                <w:sz w:val="22"/>
                <w:szCs w:val="22"/>
              </w:rPr>
              <w:t xml:space="preserve">Stated purpose: </w:t>
            </w:r>
            <w:r>
              <w:rPr>
                <w:rFonts w:ascii="Georgia" w:cs="Georgia" w:eastAsia="Georgia" w:hAnsi="Georgia"/>
                <w:color w:val="1A1A1A"/>
                <w:sz w:val="22"/>
                <w:szCs w:val="22"/>
              </w:rPr>
              <w:t xml:space="preserve">Verbatim or close paraphrase of the agency's documented rationale, with administrative record citation.</w:t>
            </w:r>
          </w:p>
          <w:p>
            <w:pPr>
              <w:pStyle w:val="ListParagraph"/>
              <w:numPr>
                <w:ilvl w:val="0"/>
                <w:numId w:val="2"/>
              </w:numPr>
              <w:spacing w:before="40" w:after="60"/>
            </w:pPr>
            <w:r>
              <w:rPr>
                <w:rFonts w:ascii="Georgia" w:cs="Georgia" w:eastAsia="Georgia" w:hAnsi="Georgia"/>
                <w:b/>
                <w:bCs/>
                <w:color w:val="1A1A1A"/>
                <w:sz w:val="22"/>
                <w:szCs w:val="22"/>
              </w:rPr>
              <w:t xml:space="preserve">Documented outcome: </w:t>
            </w:r>
            <w:r>
              <w:rPr>
                <w:rFonts w:ascii="Georgia" w:cs="Georgia" w:eastAsia="Georgia" w:hAnsi="Georgia"/>
                <w:color w:val="1A1A1A"/>
                <w:sz w:val="22"/>
                <w:szCs w:val="22"/>
              </w:rPr>
              <w:t xml:space="preserve">The viability field finding for the affected subgraph, in plain terms, with hash reference to the T+0 and T+30d records.</w:t>
            </w:r>
          </w:p>
          <w:p>
            <w:pPr>
              <w:pStyle w:val="ListParagraph"/>
              <w:numPr>
                <w:ilvl w:val="0"/>
                <w:numId w:val="2"/>
              </w:numPr>
              <w:spacing w:before="40" w:after="60"/>
            </w:pPr>
            <w:r>
              <w:rPr>
                <w:rFonts w:ascii="Georgia" w:cs="Georgia" w:eastAsia="Georgia" w:hAnsi="Georgia"/>
                <w:b/>
                <w:bCs/>
                <w:color w:val="1A1A1A"/>
                <w:sz w:val="22"/>
                <w:szCs w:val="22"/>
              </w:rPr>
              <w:t xml:space="preserve">The gap: </w:t>
            </w:r>
            <w:r>
              <w:rPr>
                <w:rFonts w:ascii="Georgia" w:cs="Georgia" w:eastAsia="Georgia" w:hAnsi="Georgia"/>
                <w:color w:val="1A1A1A"/>
                <w:sz w:val="22"/>
                <w:szCs w:val="22"/>
              </w:rPr>
              <w:t xml:space="preserve">An explicit statement that the documented outcome is not explained by the stated purpose, and that the administrative record contains no documentation of how this outcome was anticipated, weighed, or accepted as consistent with the policy's goals. This gap — undocumented in the administrative record — is the APA arbitrary-and-capricious predicate.</w:t>
            </w:r>
          </w:p>
          <w:p>
            <w:pPr>
              <w:spacing w:before="80" w:after="0"/>
              <w:jc w:val="both"/>
            </w:pPr>
            <w:r>
              <w:rPr>
                <w:rFonts w:ascii="Georgia" w:cs="Georgia" w:eastAsia="Georgia" w:hAnsi="Georgia"/>
                <w:color w:val="1A1A1A"/>
                <w:sz w:val="22"/>
                <w:szCs w:val="22"/>
              </w:rPr>
              <w:t xml:space="preserve">The record then states: 'Under the APA's arbitrary-and-capricious standard, an agency must examine relevant data and articulate a satisfactory explanation for its action including a rational connection between the facts found and the choice made [Motor Vehicle Manufacturers Ass'n v. State Farm, 463 U.S. 29 (1983)]. The viability field findings documented above constitute relevant data that the agency's administrative record does not address. This constitutes grounds for an arbitrary-and-capricious challenge.'</w:t>
            </w:r>
          </w:p>
        </w:tc>
      </w:tr>
    </w:tbl>
    <w:p>
      <w:pPr>
        <w:pStyle w:val="Heading2"/>
        <w:spacing w:before="300" w:after="120"/>
      </w:pPr>
      <w:r>
        <w:rPr>
          <w:rFonts w:ascii="Arial" w:cs="Arial" w:eastAsia="Arial" w:hAnsi="Arial"/>
          <w:b/>
          <w:bCs/>
          <w:color w:val="2E6DA4"/>
          <w:sz w:val="26"/>
          <w:szCs w:val="26"/>
        </w:rPr>
        <w:t xml:space="preserve">I.5  Phase 1 Policy Attribution — Scope and Limitations</w:t>
      </w:r>
    </w:p>
    <w:p>
      <w:pPr>
        <w:spacing w:before="0" w:after="160"/>
        <w:jc w:val="both"/>
      </w:pPr>
      <w:r>
        <w:rPr>
          <w:rFonts w:ascii="Georgia" w:cs="Georgia" w:eastAsia="Georgia" w:hAnsi="Georgia"/>
          <w:color w:val="1A1A1A"/>
          <w:sz w:val="22"/>
          <w:szCs w:val="22"/>
        </w:rPr>
        <w:t xml:space="preserve">In Phase 1, the T+72h record's Administrative Mechanics Mapping will often be incomplete. Sentinel node data may not be sufficient to isolate a single policy instrument as the primary routing change. Multiple instruments may be simultaneously active. The following scope constraints apply to Phase 1 T+72h outputs:</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4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Condition</w:t>
            </w:r>
          </w:p>
        </w:tc>
        <w:tc>
          <w:tcPr>
            <w:tcW w:type="dxa" w:w="348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Phase 1 Standard</w:t>
            </w:r>
          </w:p>
        </w:tc>
        <w:tc>
          <w:tcPr>
            <w:tcW w:type="dxa" w:w="344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Phase 2 Standard</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Single instrument clearly identified</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Full Appendix I specification applies</w:t>
            </w:r>
          </w:p>
        </w:tc>
        <w:tc>
          <w:tcPr>
            <w:tcW w:type="dxa" w:w="344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Full specification with deeper administrative record review</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Multiple concurrent instruments</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Document all candidates; state that primary attribution is uncertain; present temporal evidence for each</w:t>
            </w:r>
          </w:p>
        </w:tc>
        <w:tc>
          <w:tcPr>
            <w:tcW w:type="dxa" w:w="344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Synthetic control analysis to isolate primary instrument</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Instrument identified but rationale unclear</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Document the routing change and temporal association; note that stated rationale is unavailable or ambiguous in the administrative record</w:t>
            </w:r>
          </w:p>
        </w:tc>
        <w:tc>
          <w:tcPr>
            <w:tcW w:type="dxa" w:w="344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Administrative record FOIA request to surface rationale documentation</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No instrument clearly identified (emergent Type B harm)</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Type B classification instead of APA hook; document the harm pattern without policy attribution; flag for Phase 2 investigation</w:t>
            </w:r>
          </w:p>
        </w:tc>
        <w:tc>
          <w:tcPr>
            <w:tcW w:type="dxa" w:w="344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Structural attribution methodology (see Master Architecture Section 5.3)</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Phase 1 T+72h outputs that cannot satisfy the full Policy Attribution Standard still provide value: they document the harm pattern in a policy-oriented register that is more actionable than the T+0 semantic record for advocacy purposes, even without a complete APA hook. The APA hook is the target; the harm documentation is the floor.</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Integration Note</w:t>
      </w:r>
    </w:p>
    <w:p>
      <w:pPr>
        <w:spacing w:before="0" w:after="160"/>
        <w:jc w:val="both"/>
      </w:pPr>
      <w:r>
        <w:rPr>
          <w:rFonts w:ascii="Georgia" w:cs="Georgia" w:eastAsia="Georgia" w:hAnsi="Georgia"/>
          <w:color w:val="1A1A1A"/>
          <w:sz w:val="22"/>
          <w:szCs w:val="22"/>
        </w:rPr>
        <w:t xml:space="preserve">This addition integrates into Companion A v3 as follows:</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76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This Document</w:t>
            </w:r>
          </w:p>
        </w:tc>
        <w:tc>
          <w:tcPr>
            <w:tcW w:type="dxa" w:w="41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Integration Point in Companion A v3</w:t>
            </w:r>
          </w:p>
        </w:tc>
        <w:tc>
          <w:tcPr>
            <w:tcW w:type="dxa" w:w="27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Action</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Section 19 (this document)</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After Section 18 (Conclusion)</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Insert as new final section before appendices</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Appendix B (Revised)</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Replace existing Appendix B</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Full replacement — tripartite structure supersedes dual-output</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Appendix I (Policy Attribution Standard)</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New appendix after existing Appendix H</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Insert as new Appendix I</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Principle 19.1 (Consistency Statement)</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Add to Section 5 (PLOL) as Principle 5.4</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Cross-reference from Appendix B</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Principle 19.2 (Complexity Ceiling)</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Add to Section 1 (Introduction) as Principle 1.4</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Governs future additions to this document</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Following integration, Companion A reaches its final pre-circulation specification. The research program now comprises five documents: the master architecture (AHC v3.0), the master architecture amendment (AHC v3.1), Companion A (v3.0 with Section 19 integration), and four companion papers specified but not yet written (AHC-CI, AHC-FED, AHC-IMPL, and the Layer 0 institutional specification, now partially resolved by this Section 19 addition).</w:t>
      </w:r>
    </w:p>
    <w:p>
      <w:pPr>
        <w:spacing w:before="0" w:after="160"/>
        <w:jc w:val="both"/>
      </w:pPr>
      <w:r>
        <w:rPr>
          <w:rFonts w:ascii="Georgia" w:cs="Georgia" w:eastAsia="Georgia" w:hAnsi="Georgia"/>
          <w:color w:val="1A1A1A"/>
          <w:sz w:val="22"/>
          <w:szCs w:val="22"/>
        </w:rPr>
        <w:t xml:space="preserve">The Complexity Ceiling principle (19.2) governs what comes next: external circulation to specialist readers, followed by empirical Phase 1 deployment evidence, followed by further specification only where deployment evidence demands it. The architecture is now more precise than any Phase 1 institution will be able to implement. The next constraint is not more specification — it is the first institution willing to try.</w:t>
      </w:r>
    </w:p>
    <w:p>
      <w:pPr>
        <w:spacing w:before="0" w:after="80"/>
      </w:pPr>
      <w:r>
        <w:t xml:space="preserve"/>
      </w:r>
    </w:p>
    <w:p>
      <w:pPr>
        <w:pBdr>
          <w:bottom w:val="single" w:color="A8C4D8" w:sz="4" w:space="1"/>
        </w:pBdr>
        <w:spacing w:before="120" w:after="120"/>
      </w:pPr>
    </w:p>
    <w:p>
      <w:pPr>
        <w:spacing w:before="0" w:after="80"/>
      </w:pPr>
      <w:r>
        <w:t xml:space="preserve"/>
      </w:r>
    </w:p>
    <w:p>
      <w:pPr>
        <w:spacing w:before="0" w:after="0"/>
        <w:jc w:val="center"/>
      </w:pPr>
      <w:r>
        <w:rPr>
          <w:rFonts w:ascii="Arial" w:cs="Arial" w:eastAsia="Arial" w:hAnsi="Arial"/>
          <w:b w:val="false"/>
          <w:bCs w:val="false"/>
          <w:color w:val="555555"/>
          <w:sz w:val="18"/>
          <w:szCs w:val="18"/>
        </w:rPr>
        <w:t xml:space="preserve">Section 19 Addition to Companion A [AHC-L0] v3. Developed through adversarial loop: Claude + Gemini. March 2026. Not for citation without permission.</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C4D8" w:sz="4" w:space="4"/>
      </w:pBdr>
      <w:jc w:val="right"/>
    </w:pPr>
    <w:r>
      <w:rPr>
        <w:rFonts w:ascii="Arial" w:cs="Arial" w:eastAsia="Arial" w:hAnsi="Arial"/>
        <w:b w:val="false"/>
        <w:bCs w:val="false"/>
        <w:color w:val="555555"/>
        <w:sz w:val="18"/>
        <w:szCs w:val="18"/>
      </w:rPr>
      <w:t xml:space="preserve">Companion A v3 Section 19 Addition    </w:t>
    </w:r>
    <w:r>
      <w:rPr>
        <w:rFonts w:ascii="Arial" w:cs="Arial" w:eastAsia="Arial" w:hAnsi="Arial"/>
        <w:color w:val="2E6DA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C4D8" w:sz="4" w:space="4"/>
      </w:pBdr>
    </w:pPr>
    <w:r>
      <w:rPr>
        <w:rFonts w:ascii="Arial" w:cs="Arial" w:eastAsia="Arial" w:hAnsi="Arial"/>
        <w:b/>
        <w:bCs/>
        <w:color w:val="2E6DA4"/>
        <w:sz w:val="18"/>
        <w:szCs w:val="18"/>
      </w:rPr>
      <w:t xml:space="preserve">COMPANION A [AHC-L0]  —  SECTION 19 ADDITION  |  Minimum Viable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2026-03-21T04:59:26.839Z</dcterms:created>
  <dcterms:modified xsi:type="dcterms:W3CDTF">2026-03-21T04:59:26.840Z</dcterms:modified>
</cp:coreProperties>
</file>

<file path=docProps/custom.xml><?xml version="1.0" encoding="utf-8"?>
<Properties xmlns="http://schemas.openxmlformats.org/officeDocument/2006/custom-properties" xmlns:vt="http://schemas.openxmlformats.org/officeDocument/2006/docPropsVTypes"/>
</file>