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80"/>
        <w:jc w:val="center"/>
      </w:pPr>
      <w:r>
        <w:rPr>
          <w:rFonts w:ascii="Arial" w:cs="Arial" w:eastAsia="Arial" w:hAnsi="Arial"/>
          <w:b/>
          <w:bCs/>
          <w:color w:val="1B3A5C"/>
          <w:sz w:val="46"/>
          <w:szCs w:val="46"/>
        </w:rPr>
        <w:t xml:space="preserve">COMPANION A  [AHC-L0]</w:t>
      </w:r>
    </w:p>
    <w:p>
      <w:pPr>
        <w:spacing w:before="0" w:after="60"/>
        <w:jc w:val="center"/>
      </w:pPr>
      <w:r>
        <w:rPr>
          <w:rFonts w:ascii="Arial" w:cs="Arial" w:eastAsia="Arial" w:hAnsi="Arial"/>
          <w:b w:val="false"/>
          <w:bCs w:val="false"/>
          <w:color w:val="2E6DA4"/>
          <w:sz w:val="26"/>
          <w:szCs w:val="26"/>
        </w:rPr>
        <w:t xml:space="preserve">Version 3  —  Simulation Findings Integration</w:t>
      </w:r>
    </w:p>
    <w:p>
      <w:pPr>
        <w:spacing w:before="0" w:after="480"/>
        <w:jc w:val="center"/>
      </w:pPr>
      <w:r>
        <w:rPr>
          <w:rFonts w:ascii="Arial" w:cs="Arial" w:eastAsia="Arial" w:hAnsi="Arial"/>
          <w:b/>
          <w:bCs/>
          <w:color w:val="2E6DA4"/>
          <w:sz w:val="24"/>
          <w:szCs w:val="24"/>
        </w:rPr>
        <w:t xml:space="preserve">The Legitimacy Substrate: Constitutional Interface</w:t>
      </w:r>
    </w:p>
    <w:p>
      <w:pPr>
        <w:pBdr>
          <w:bottom w:val="single" w:color="1B3A5C" w:sz="12" w:space="1"/>
        </w:pBdr>
        <w:spacing w:before="0" w:after="480"/>
      </w:pPr>
    </w:p>
    <w:p>
      <w:pPr>
        <w:spacing w:before="0" w:after="480"/>
        <w:jc w:val="center"/>
      </w:pPr>
      <w:r>
        <w:rPr>
          <w:rFonts w:ascii="Arial" w:cs="Arial" w:eastAsia="Arial" w:hAnsi="Arial"/>
          <w:b w:val="false"/>
          <w:bCs w:val="false"/>
          <w:color w:val="555555"/>
          <w:sz w:val="21"/>
          <w:szCs w:val="21"/>
        </w:rPr>
        <w:t xml:space="preserve">March 2026  |  Third revision — adversarial review loop + phenomenological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D6E4F0" w:val="clear"/>
            <w:tcMar>
              <w:top w:type="dxa" w:w="240"/>
              <w:left w:type="dxa" w:w="360"/>
              <w:bottom w:type="dxa" w:w="240"/>
              <w:right w:type="dxa" w:w="360"/>
            </w:tcMar>
          </w:tcPr>
          <w:p>
            <w:pPr>
              <w:spacing w:before="0" w:after="120"/>
            </w:pPr>
            <w:r>
              <w:rPr>
                <w:rFonts w:ascii="Arial" w:cs="Arial" w:eastAsia="Arial" w:hAnsi="Arial"/>
                <w:b/>
                <w:bCs/>
                <w:color w:val="1B3A5C"/>
                <w:sz w:val="22"/>
                <w:szCs w:val="22"/>
              </w:rPr>
              <w:t xml:space="preserve">ABSTRACT</w:t>
            </w:r>
          </w:p>
          <w:p>
            <w:pPr>
              <w:spacing w:before="0" w:after="120"/>
              <w:jc w:val="both"/>
            </w:pPr>
            <w:r>
              <w:rPr>
                <w:rFonts w:ascii="Georgia" w:cs="Georgia" w:eastAsia="Georgia" w:hAnsi="Georgia"/>
                <w:color w:val="1A1A1A"/>
                <w:sz w:val="22"/>
                <w:szCs w:val="22"/>
              </w:rPr>
              <w:t xml:space="preserve">This paper specifies Companion A [AHC-L0] v3, the constitutional interface through which epistemic legitimacy may be converted into constitutional legitimacy without requiring citizens to perform the full computation of the system. Version 3 incorporates five specification additions arising from a phenomenological simulation conducted via GLM 4.6 / NovelAI: (1) the Compound Event Operational Protocol, addressing the weaponization of acute event classification to evade slow-decay review; (2) the Community Contact Architecture, ensuring the vocabulary of challenge is not pre-defined by the architecture; (3) the Community Statistical Support Fund, decoupling the right to contest methodology from the resource requirement to exercise it; (4) three new mandatory PLOL fields — the uncertainty statement, the immediate limitation disclosure, and the resource access field; and (5) two additions to the Open Problems Register and Limits section arising from the simulation's irreducible findings. The paper retains all prior content from v2 and supersedes it where the two conflict.</w:t>
            </w:r>
          </w:p>
          <w:p>
            <w:pPr>
              <w:spacing w:before="0" w:after="0"/>
            </w:pPr>
            <w:r>
              <w:rPr>
                <w:rFonts w:ascii="Arial" w:cs="Arial" w:eastAsia="Arial" w:hAnsi="Arial"/>
                <w:b/>
                <w:bCs/>
                <w:color w:val="1B3A5C"/>
                <w:sz w:val="20"/>
                <w:szCs w:val="20"/>
              </w:rPr>
              <w:t xml:space="preserve">Simulation provenance note: </w:t>
            </w:r>
            <w:r>
              <w:rPr>
                <w:rFonts w:ascii="Georgia" w:cs="Georgia" w:eastAsia="Georgia" w:hAnsi="Georgia"/>
                <w:color w:val="555555"/>
                <w:sz w:val="20"/>
                <w:szCs w:val="20"/>
              </w:rPr>
              <w:t xml:space="preserve">The Compound Event vulnerability was not identified by four AI red team passes, two formal adversarial review rounds, or three specification passes. It was identified by a 400-line narrative simulation rendered from within a targeted community's experience. The fictionality method is now a permanent component of AHC validation methodology.</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Table of Contents</w:t>
      </w:r>
    </w:p>
    <w:p>
      <w:pPr>
        <w:spacing w:before="0" w:after="160"/>
        <w:jc w:val="both"/>
      </w:pPr>
      <w:r>
        <w:rPr>
          <w:rFonts w:ascii="Georgia" w:cs="Georgia" w:eastAsia="Georgia" w:hAnsi="Georgia"/>
          <w:color w:val="1A1A1A"/>
          <w:sz w:val="22"/>
          <w:szCs w:val="22"/>
        </w:rPr>
        <w:t xml:space="preserve">Abstract  |  1. Introduction and Governing Principles  |  2. The Three Constitutive Tensions  |  3. Reframing the Ashby Problem  |  4. Layer 0A and Layer 0B  |  5. The Plain Language Output Layer — Revised  |  6. Community Contact Architecture (New)  |  7. Anti-Panopticon Sensing Architecture  |  8. Sentinel Node Architecture  |  9. Friction-Based Subgraph Nomination and Standing Doctrine  |  10. Compound Event Operational Protocol (New)  |  11. Community Standing, Contestation, and Pause Powers  |  12. Governance Franchise Layer  |  13. Tribunal and Appeals Architecture  |  14. Institutional Birth Roadmap  |  15. Epistemic Validation Protocol  |  16. International Embedding  |  17. Limits, Open Problems, and Failure Modes — Revised  |  18. Conclusion</w:t>
      </w:r>
    </w:p>
    <w:p>
      <w:pPr>
        <w:spacing w:before="0" w:after="160"/>
        <w:jc w:val="both"/>
      </w:pPr>
      <w:r>
        <w:rPr>
          <w:rFonts w:ascii="Georgia" w:cs="Georgia" w:eastAsia="Georgia" w:hAnsi="Georgia"/>
          <w:color w:val="1A1A1A"/>
          <w:sz w:val="22"/>
          <w:szCs w:val="22"/>
        </w:rPr>
        <w:t xml:space="preserve">Appendices: A. Layer 0A/0B Schema  |  B. PLOL Dual-Output Specification — Revised  |  C. Cohort Standing Transition Model  |  D. Tribunal Review Matrix  |  E. Institutional Mode Operability Conditions  |  F. Recalibration versus Rollback  |  G. Community Standing Minimal Rights Charter  |  H. Open Problems Register — Revised  |  X. Shared Definitions and Notation</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 Introduction and Governing Principles</w:t>
      </w:r>
    </w:p>
    <w:p>
      <w:pPr>
        <w:pStyle w:val="Heading2"/>
        <w:spacing w:before="300" w:after="120"/>
      </w:pPr>
      <w:r>
        <w:rPr>
          <w:rFonts w:ascii="Arial" w:cs="Arial" w:eastAsia="Arial" w:hAnsi="Arial"/>
          <w:b/>
          <w:bCs/>
          <w:color w:val="2E6DA4"/>
          <w:sz w:val="26"/>
          <w:szCs w:val="26"/>
        </w:rPr>
        <w:t xml:space="preserve">1.1 The Problem and the Bounded Claim</w:t>
      </w:r>
    </w:p>
    <w:p>
      <w:pPr>
        <w:spacing w:before="0" w:after="160"/>
        <w:jc w:val="both"/>
      </w:pPr>
      <w:r>
        <w:rPr>
          <w:rFonts w:ascii="Georgia" w:cs="Georgia" w:eastAsia="Georgia" w:hAnsi="Georgia"/>
          <w:color w:val="1A1A1A"/>
          <w:sz w:val="22"/>
          <w:szCs w:val="22"/>
        </w:rPr>
        <w:t xml:space="preserve">The master AHC architecture begins from the claim that a democratic order may preserve aggregate procedural stability while forcing demographic subgraphs below non-compensable viability floors. Companion A specifies the constitutional translation layer through which this architecture becomes publicly contestable, procedurally reviewable, and institutionally incorporable without requiring citizens to perform its full computation.</w:t>
      </w:r>
    </w:p>
    <w:p>
      <w:pPr>
        <w:spacing w:before="0" w:after="160"/>
        <w:jc w:val="both"/>
      </w:pPr>
      <w:r>
        <w:rPr>
          <w:rFonts w:ascii="Georgia" w:cs="Georgia" w:eastAsia="Georgia" w:hAnsi="Georgia"/>
          <w:color w:val="1A1A1A"/>
          <w:sz w:val="22"/>
          <w:szCs w:val="22"/>
        </w:rPr>
        <w:t xml:space="preserve">The claim is bounded. Companion A does not solve legitimacy in general. It does not remove politics. It does not prove that any given polity will adopt AHC. It specifies the constitutional conditions under which a rights-protective cybernetic system may act without demanding blind trust, without centralizing personal dossiers, and without collapsing into either opacity or fully legible gameability.</w:t>
      </w:r>
    </w:p>
    <w:p>
      <w:pPr>
        <w:pStyle w:val="Heading2"/>
        <w:spacing w:before="300" w:after="120"/>
      </w:pPr>
      <w:r>
        <w:rPr>
          <w:rFonts w:ascii="Arial" w:cs="Arial" w:eastAsia="Arial" w:hAnsi="Arial"/>
          <w:b/>
          <w:bCs/>
          <w:color w:val="2E6DA4"/>
          <w:sz w:val="26"/>
          <w:szCs w:val="26"/>
        </w:rPr>
        <w:t xml:space="preserve">1.2 Version 3 Additions</w:t>
      </w:r>
    </w:p>
    <w:p>
      <w:pPr>
        <w:spacing w:before="0" w:after="160"/>
        <w:jc w:val="both"/>
      </w:pPr>
      <w:r>
        <w:rPr>
          <w:rFonts w:ascii="Georgia" w:cs="Georgia" w:eastAsia="Georgia" w:hAnsi="Georgia"/>
          <w:color w:val="1A1A1A"/>
          <w:sz w:val="22"/>
          <w:szCs w:val="22"/>
        </w:rPr>
        <w:t xml:space="preserve">Version 3 incorporates findings from a phenomenological simulation — a speculative fiction generated to render the experience of AHC's correct operation from inside a targeted community. The simulation identified five specification gaps and two irreducible limits not found by prior analytical methods. These additions are marked throughout the document with the simulation finding indicator </w:t>
      </w:r>
      <w:r>
        <w:rPr>
          <w:rFonts w:ascii="Arial" w:cs="Arial" w:eastAsia="Arial" w:hAnsi="Arial"/>
          <w:b/>
          <w:bCs/>
          <w:color w:val="1A4A5C"/>
          <w:sz w:val="20"/>
          <w:szCs w:val="20"/>
        </w:rPr>
        <w:t xml:space="preserve">⊙</w:t>
      </w:r>
      <w:r>
        <w:rPr>
          <w:rFonts w:ascii="Georgia" w:cs="Georgia" w:eastAsia="Georgia" w:hAnsi="Georgia"/>
          <w:color w:val="1A1A1A"/>
          <w:sz w:val="22"/>
          <w:szCs w:val="22"/>
        </w:rPr>
        <w:t xml:space="preserve">.</w:t>
      </w:r>
    </w:p>
    <w:p>
      <w:pPr>
        <w:pStyle w:val="Heading2"/>
        <w:spacing w:before="300" w:after="120"/>
      </w:pPr>
      <w:r>
        <w:rPr>
          <w:rFonts w:ascii="Arial" w:cs="Arial" w:eastAsia="Arial" w:hAnsi="Arial"/>
          <w:b/>
          <w:bCs/>
          <w:color w:val="2E6DA4"/>
          <w:sz w:val="26"/>
          <w:szCs w:val="26"/>
        </w:rPr>
        <w:t xml:space="preserve">1.3 Governing Principles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2.1</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Public Contestability Principle: No rights-affecting classification may trigger enforcement or binding institutional consequence unless it can be rendered into a publicly contestable semantic account.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2.2</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Non-Surveillance Predicate Principle: No central accumulation of personally identifying dossiers may be treated as a necessary predicate of collective rights protection where less invasive architectures remain feasible.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2.3</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Non-Regression Principle: Ordinary administrative convenience, political preference, or threshold fatigue are insufficient grounds for reducing the architecture's protective sensitivity.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2.4</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Anti-Priesthood Principle: Expertise may remain necessary for design, reproduction, and audit, but semantic governance, available remedies, and review rights may not be monopolized by an expert class.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2.5</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Emergency Decay Principle: Any emergency authority derived from AHC classifications must be temporally bounded, reversible, and prevented from normalizing itself through repetition alone.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Principle 2.6 ⊙</w:t>
            </w:r>
          </w:p>
        </w:tc>
        <w:tc>
          <w:tcPr>
            <w:tcW w:type="dxa" w:w="7360"/>
            <w:tcBorders>
              <w:top w:val="single" w:color="1B3A5C" w:sz="1"/>
              <w:left w:val="single" w:color="1B3A5C" w:sz="1"/>
              <w:bottom w:val="single" w:color="1B3A5C" w:sz="1"/>
              <w:right w:val="single" w:color="1B3A5C" w:sz="1"/>
            </w:tcBorders>
            <w:shd w:fill="F5F7FA" w:val="clear"/>
            <w:tcMar>
              <w:top w:type="dxa" w:w="100"/>
              <w:left w:type="dxa" w:w="200"/>
              <w:bottom w:type="dxa" w:w="100"/>
              <w:right w:type="dxa" w:w="160"/>
            </w:tcMar>
          </w:tcPr>
          <w:p>
            <w:pPr>
              <w:spacing w:before="0" w:after="0"/>
              <w:jc w:val="both"/>
            </w:pPr>
            <w:r>
              <w:rPr>
                <w:rFonts w:ascii="Georgia" w:cs="Georgia" w:eastAsia="Georgia" w:hAnsi="Georgia"/>
                <w:color w:val="1A1A1A"/>
                <w:sz w:val="22"/>
                <w:szCs w:val="22"/>
              </w:rPr>
              <w:t xml:space="preserve">Immediate Limitation Principle (New — v3): The architecture must be transparent about what it does not do in the immediate term. A classification that correctly observes harm without immediately preventing it must say so plainly. Communities must not be misled into treating documentation as protection.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2. The Three Constitutive Tensions</w:t>
      </w:r>
    </w:p>
    <w:p>
      <w:pPr>
        <w:spacing w:before="0" w:after="160"/>
        <w:jc w:val="both"/>
      </w:pPr>
      <w:r>
        <w:rPr>
          <w:rFonts w:ascii="Georgia" w:cs="Georgia" w:eastAsia="Georgia" w:hAnsi="Georgia"/>
          <w:color w:val="1A1A1A"/>
          <w:sz w:val="22"/>
          <w:szCs w:val="22"/>
        </w:rPr>
        <w:t xml:space="preserve">Three tensions bound the Layer 0 problem. They are constitutive — inherent to any counter-majoritarian constitutional architecture — rather than correctable design flaws.</w:t>
      </w:r>
    </w:p>
    <w:p>
      <w:pPr>
        <w:spacing w:before="0" w:after="160"/>
        <w:jc w:val="both"/>
      </w:pPr>
      <w:r>
        <w:rPr>
          <w:rFonts w:ascii="Georgia" w:cs="Georgia" w:eastAsia="Georgia" w:hAnsi="Georgia"/>
          <w:b/>
          <w:bCs/>
          <w:color w:val="1A1A1A"/>
          <w:sz w:val="22"/>
          <w:szCs w:val="22"/>
        </w:rPr>
        <w:t xml:space="preserve">Trust displacement limit: </w:t>
      </w:r>
      <w:r>
        <w:rPr>
          <w:rFonts w:ascii="Georgia" w:cs="Georgia" w:eastAsia="Georgia" w:hAnsi="Georgia"/>
          <w:color w:val="1A1A1A"/>
          <w:sz w:val="22"/>
          <w:szCs w:val="22"/>
        </w:rPr>
        <w:t xml:space="preserve">distrust of state-reported social reality cannot be eliminated but only shifted into new institutions, methods, and interfaces whose governability must themselves be justified. AHC makes the trust problem more tractable by distributing it across three independently grounded ATG pillars. It does not resolve the regress.</w:t>
      </w:r>
    </w:p>
    <w:p>
      <w:pPr>
        <w:spacing w:before="0" w:after="160"/>
        <w:jc w:val="both"/>
      </w:pPr>
      <w:r>
        <w:rPr>
          <w:rFonts w:ascii="Georgia" w:cs="Georgia" w:eastAsia="Georgia" w:hAnsi="Georgia"/>
          <w:b/>
          <w:bCs/>
          <w:color w:val="1A1A1A"/>
          <w:sz w:val="22"/>
          <w:szCs w:val="22"/>
        </w:rPr>
        <w:t xml:space="preserve">Observability lag: </w:t>
      </w:r>
      <w:r>
        <w:rPr>
          <w:rFonts w:ascii="Georgia" w:cs="Georgia" w:eastAsia="Georgia" w:hAnsi="Georgia"/>
          <w:color w:val="1A1A1A"/>
          <w:sz w:val="22"/>
          <w:szCs w:val="22"/>
        </w:rPr>
        <w:t xml:space="preserve">many harms become reliably measurable only after they have already begun to harden. The leading indicator sublayer reduces this lag. It does not eliminate it. The architecture is structurally retrospective with respect to harms that precede administrative legibility.</w:t>
      </w:r>
    </w:p>
    <w:p>
      <w:pPr>
        <w:spacing w:before="0" w:after="160"/>
        <w:jc w:val="both"/>
      </w:pPr>
      <w:r>
        <w:rPr>
          <w:rFonts w:ascii="Georgia" w:cs="Georgia" w:eastAsia="Georgia" w:hAnsi="Georgia"/>
          <w:b/>
          <w:bCs/>
          <w:color w:val="1A1A1A"/>
          <w:sz w:val="22"/>
          <w:szCs w:val="22"/>
        </w:rPr>
        <w:t xml:space="preserve">Adversarial adaptation arms race: </w:t>
      </w:r>
      <w:r>
        <w:rPr>
          <w:rFonts w:ascii="Georgia" w:cs="Georgia" w:eastAsia="Georgia" w:hAnsi="Georgia"/>
          <w:color w:val="1A1A1A"/>
          <w:sz w:val="22"/>
          <w:szCs w:val="22"/>
        </w:rPr>
        <w:t xml:space="preserve">once a measurement architecture becomes known, hostile actors adjust their routing, timing, and concealment strategies. The simulation added a fourth dimension to this tension: adversaries can exploit the interaction between classification tracks, generating acute events as tools for executing slow-decay harms that are simultaneously under review. See Section 10.</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3. Reframing the Ashby Problem</w:t>
      </w:r>
    </w:p>
    <w:p>
      <w:pPr>
        <w:spacing w:before="0" w:after="160"/>
        <w:jc w:val="both"/>
      </w:pPr>
      <w:r>
        <w:rPr>
          <w:rFonts w:ascii="Georgia" w:cs="Georgia" w:eastAsia="Georgia" w:hAnsi="Georgia"/>
          <w:color w:val="1A1A1A"/>
          <w:sz w:val="22"/>
          <w:szCs w:val="22"/>
        </w:rPr>
        <w:t xml:space="preserve">Ashby's Law of Requisite Variety requires that a control system possess at least as much complexity as the system it seeks to regulate. The constitutional solution is not reduction of computational complexity to public simplicity, but translation of rights-affecting outputs into semantically contestable form under ratified review structures.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Proposition 3.1  Constitutional Translation Layer</w:t>
            </w:r>
          </w:p>
          <w:p>
            <w:pPr>
              <w:spacing w:before="0" w:after="0"/>
            </w:pPr>
            <w:r>
              <w:rPr>
                <w:rFonts w:ascii="Georgia" w:cs="Georgia" w:eastAsia="Georgia" w:hAnsi="Georgia"/>
                <w:color w:val="1A1A1A"/>
                <w:sz w:val="22"/>
                <w:szCs w:val="22"/>
              </w:rPr>
              <w:t xml:space="preserve">Computational complexity and semantic governance are formally decoupled. The architecture may be as complex as the problem demands. The outputs facing communities must be as intelligible as the rights at stake require. Neither requirement constrains the other.</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4. Layer 0A and Layer 0B</w:t>
      </w:r>
    </w:p>
    <w:p>
      <w:pPr>
        <w:pStyle w:val="Heading2"/>
        <w:spacing w:before="300" w:after="120"/>
      </w:pPr>
      <w:r>
        <w:rPr>
          <w:rFonts w:ascii="Arial" w:cs="Arial" w:eastAsia="Arial" w:hAnsi="Arial"/>
          <w:b/>
          <w:bCs/>
          <w:color w:val="2E6DA4"/>
          <w:sz w:val="26"/>
          <w:szCs w:val="26"/>
        </w:rPr>
        <w:t xml:space="preserve">4.1 The Distinction</w:t>
      </w:r>
    </w:p>
    <w:p>
      <w:pPr>
        <w:spacing w:before="0" w:after="160"/>
        <w:jc w:val="both"/>
      </w:pPr>
      <w:r>
        <w:rPr>
          <w:rFonts w:ascii="Georgia" w:cs="Georgia" w:eastAsia="Georgia" w:hAnsi="Georgia"/>
          <w:color w:val="1A1A1A"/>
          <w:sz w:val="22"/>
          <w:szCs w:val="22"/>
        </w:rPr>
        <w:t xml:space="preserve">Layer 0A is the Public Constitutional Interface: model features, procedures, outputs, and review rights that must remain publicly legible for constitutional legitimacy. Layer 0B is the Adversarial Resilience Boundary: anti-evasion features whose continuous full disclosure is not required for constitutional legitimacy, provided their bounded opacity does not alter the public logic of classification, the rights of challenge, or available remedies.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4.1  No Undisclosable Reasoning</w:t>
            </w:r>
          </w:p>
          <w:p>
            <w:pPr>
              <w:spacing w:before="0" w:after="0"/>
            </w:pPr>
            <w:r>
              <w:rPr>
                <w:rFonts w:ascii="Georgia" w:cs="Georgia" w:eastAsia="Georgia" w:hAnsi="Georgia"/>
                <w:color w:val="1A1A1A"/>
                <w:sz w:val="22"/>
                <w:szCs w:val="22"/>
              </w:rPr>
              <w:t xml:space="preserve">No enforcement, binding classification, or rights-affecting remedy may rely on reasoning whose basis cannot be publicly stated and challenged.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4.2  Bounded Opacity Test</w:t>
            </w:r>
          </w:p>
          <w:p>
            <w:pPr>
              <w:spacing w:before="0" w:after="0"/>
            </w:pPr>
            <w:r>
              <w:rPr>
                <w:rFonts w:ascii="Georgia" w:cs="Georgia" w:eastAsia="Georgia" w:hAnsi="Georgia"/>
                <w:color w:val="1A1A1A"/>
                <w:sz w:val="22"/>
                <w:szCs w:val="22"/>
              </w:rPr>
              <w:t xml:space="preserve">A feature may belong to Layer 0B only if its non-disclosure primarily serves anti-evasion rather than discretionary secrecy, does not alter the public criteria for classification, and does not foreclose appeal or remand.</w:t>
            </w:r>
          </w:p>
        </w:tc>
      </w:tr>
    </w:tbl>
    <w:p>
      <w:pPr>
        <w:pStyle w:val="Heading2"/>
        <w:spacing w:before="300" w:after="120"/>
      </w:pPr>
      <w:r>
        <w:rPr>
          <w:rFonts w:ascii="Arial" w:cs="Arial" w:eastAsia="Arial" w:hAnsi="Arial"/>
          <w:b/>
          <w:bCs/>
          <w:color w:val="2E6DA4"/>
          <w:sz w:val="26"/>
          <w:szCs w:val="26"/>
        </w:rPr>
        <w:t xml:space="preserve">4.2 The Layer 0B Footer — Revised Standard ⊙</w:t>
      </w:r>
    </w:p>
    <w:p>
      <w:pPr>
        <w:spacing w:before="0" w:after="160"/>
        <w:jc w:val="both"/>
      </w:pPr>
      <w:r>
        <w:rPr>
          <w:rFonts w:ascii="Georgia" w:cs="Georgia" w:eastAsia="Georgia" w:hAnsi="Georgia"/>
          <w:color w:val="1A1A1A"/>
          <w:sz w:val="22"/>
          <w:szCs w:val="22"/>
        </w:rPr>
        <w:t xml:space="preserve">The simulation identified that the Layer 0B disclosure footer, as previously specified, satisfied Principle 4.1 while failing to answer the community's actual question: is there something the system is not seeing because of what's hidden, and could that be why it isn't catching what's happening to us?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Layer 0B Footer Inadequacy</w:t>
            </w:r>
          </w:p>
          <w:p>
            <w:pPr>
              <w:spacing w:before="0" w:after="0"/>
            </w:pPr>
            <w:r>
              <w:rPr>
                <w:rFonts w:ascii="Georgia" w:cs="Georgia" w:eastAsia="Georgia" w:hAnsi="Georgia"/>
                <w:i/>
                <w:iCs/>
                <w:color w:val="1A1A1A"/>
                <w:sz w:val="22"/>
                <w:szCs w:val="22"/>
              </w:rPr>
              <w:t xml:space="preserve">"It is a perfect piece of text. It tells her something without telling her anything. It draws a line and then makes the line invisible. She does not know which mechanics are hidden, or if the hidden things matter, or if the architecture's definition of anti-evasion is the same as hers."</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The revised Layer 0B footer standard replaces the prior specification: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Revised Layer 0B Footer — Mandatory Text</w:t>
            </w:r>
          </w:p>
          <w:p>
            <w:pPr>
              <w:spacing w:before="0" w:after="80"/>
            </w:pPr>
            <w:r>
              <w:rPr>
                <w:rFonts w:ascii="Georgia" w:cs="Georgia" w:eastAsia="Georgia" w:hAnsi="Georgia"/>
                <w:color w:val="1A1A1A"/>
                <w:sz w:val="22"/>
                <w:szCs w:val="22"/>
              </w:rPr>
              <w:t xml:space="preserve">The footer must contain three components, in this order:</w:t>
            </w:r>
          </w:p>
          <w:p>
            <w:pPr>
              <w:pStyle w:val="ListParagraph"/>
              <w:numPr>
                <w:ilvl w:val="0"/>
                <w:numId w:val="2"/>
              </w:numPr>
              <w:spacing w:before="40" w:after="60"/>
            </w:pPr>
            <w:r>
              <w:rPr>
                <w:rFonts w:ascii="Georgia" w:cs="Georgia" w:eastAsia="Georgia" w:hAnsi="Georgia"/>
                <w:b/>
                <w:bCs/>
                <w:color w:val="1A1A1A"/>
                <w:sz w:val="22"/>
                <w:szCs w:val="22"/>
              </w:rPr>
              <w:t xml:space="preserve">Category statement: </w:t>
            </w:r>
            <w:r>
              <w:rPr>
                <w:rFonts w:ascii="Georgia" w:cs="Georgia" w:eastAsia="Georgia" w:hAnsi="Georgia"/>
                <w:color w:val="1A1A1A"/>
                <w:sz w:val="22"/>
                <w:szCs w:val="22"/>
              </w:rPr>
              <w:t xml:space="preserve">State the category of hidden mechanics without revealing parameters. Example: "Some operational parameters relate to how the system avoids being gamed by actors who would evade detection — they do not affect what counts as harm, what triggers a classification, or your rights to challenge."</w:t>
            </w:r>
          </w:p>
          <w:p>
            <w:pPr>
              <w:pStyle w:val="ListParagraph"/>
              <w:numPr>
                <w:ilvl w:val="0"/>
                <w:numId w:val="2"/>
              </w:numPr>
              <w:spacing w:before="40" w:after="60"/>
            </w:pPr>
            <w:r>
              <w:rPr>
                <w:rFonts w:ascii="Georgia" w:cs="Georgia" w:eastAsia="Georgia" w:hAnsi="Georgia"/>
                <w:b/>
                <w:bCs/>
                <w:color w:val="1A1A1A"/>
                <w:sz w:val="22"/>
                <w:szCs w:val="22"/>
              </w:rPr>
              <w:t xml:space="preserve">Affirmative scope limitation: </w:t>
            </w:r>
            <w:r>
              <w:rPr>
                <w:rFonts w:ascii="Georgia" w:cs="Georgia" w:eastAsia="Georgia" w:hAnsi="Georgia"/>
                <w:color w:val="1A1A1A"/>
                <w:sz w:val="22"/>
                <w:szCs w:val="22"/>
              </w:rPr>
              <w:t xml:space="preserve">State explicitly what is NOT hidden. Example: "The criteria used to classify your community's situation, and the reasoning behind that classification, are fully stated above and are not subject to any opacity provision."</w:t>
            </w:r>
          </w:p>
          <w:p>
            <w:pPr>
              <w:pStyle w:val="ListParagraph"/>
              <w:numPr>
                <w:ilvl w:val="0"/>
                <w:numId w:val="2"/>
              </w:numPr>
              <w:spacing w:before="40" w:after="60"/>
            </w:pPr>
            <w:r>
              <w:rPr>
                <w:rFonts w:ascii="Georgia" w:cs="Georgia" w:eastAsia="Georgia" w:hAnsi="Georgia"/>
                <w:b/>
                <w:bCs/>
                <w:color w:val="1A1A1A"/>
                <w:sz w:val="22"/>
                <w:szCs w:val="22"/>
              </w:rPr>
              <w:t xml:space="preserve">Active pathway: </w:t>
            </w:r>
            <w:r>
              <w:rPr>
                <w:rFonts w:ascii="Georgia" w:cs="Georgia" w:eastAsia="Georgia" w:hAnsi="Georgia"/>
                <w:color w:val="1A1A1A"/>
                <w:sz w:val="22"/>
                <w:szCs w:val="22"/>
              </w:rPr>
              <w:t xml:space="preserve">Provide a specific action for communities who believe the hidden parameters are causing the system to miss their situation. Example: "If you believe the system is failing to see something important about your community's conditions, this concern can be raised through Parameter Legitimacy Review without requiring you to identify the specific hidden parameter. Contact: [channel]."</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5. The Plain Language Output Layer — Revised</w:t>
      </w:r>
    </w:p>
    <w:p>
      <w:pPr>
        <w:pStyle w:val="Heading2"/>
        <w:spacing w:before="300" w:after="120"/>
      </w:pPr>
      <w:r>
        <w:rPr>
          <w:rFonts w:ascii="Arial" w:cs="Arial" w:eastAsia="Arial" w:hAnsi="Arial"/>
          <w:b/>
          <w:bCs/>
          <w:color w:val="2E6DA4"/>
          <w:sz w:val="26"/>
          <w:szCs w:val="26"/>
        </w:rPr>
        <w:t xml:space="preserve">5.1 Core Definitions — Unchanged</w:t>
      </w:r>
    </w:p>
    <w:p>
      <w:pPr>
        <w:spacing w:before="0" w:after="160"/>
        <w:jc w:val="both"/>
      </w:pPr>
      <w:r>
        <w:rPr>
          <w:rFonts w:ascii="Georgia" w:cs="Georgia" w:eastAsia="Georgia" w:hAnsi="Georgia"/>
          <w:color w:val="1A1A1A"/>
          <w:sz w:val="22"/>
          <w:szCs w:val="22"/>
        </w:rPr>
        <w:t xml:space="preserve">Semantic contestability (Definition 5.1), technical reproducibility (Definition 5.2), and the hash bridge (Definition 5.3) are unchanged from v2. Proposition 5.1 — that semantic contestability is necessary for public legitimacy and technical reproducibility is necessary for expert accountability, and neither is sufficient for the other — is unchanged.</w:t>
      </w:r>
    </w:p>
    <w:p>
      <w:pPr>
        <w:pStyle w:val="Heading2"/>
        <w:spacing w:before="300" w:after="120"/>
      </w:pPr>
      <w:r>
        <w:rPr>
          <w:rFonts w:ascii="Arial" w:cs="Arial" w:eastAsia="Arial" w:hAnsi="Arial"/>
          <w:b/>
          <w:bCs/>
          <w:color w:val="2E6DA4"/>
          <w:sz w:val="26"/>
          <w:szCs w:val="26"/>
        </w:rPr>
        <w:t xml:space="preserve">5.2 Three New Mandatory PLOL Fields ⊙</w:t>
      </w:r>
    </w:p>
    <w:p>
      <w:pPr>
        <w:spacing w:before="0" w:after="160"/>
        <w:jc w:val="both"/>
      </w:pPr>
      <w:r>
        <w:rPr>
          <w:rFonts w:ascii="Georgia" w:cs="Georgia" w:eastAsia="Georgia" w:hAnsi="Georgia"/>
          <w:color w:val="1A1A1A"/>
          <w:sz w:val="22"/>
          <w:szCs w:val="22"/>
        </w:rPr>
        <w:t xml:space="preserve">The simulation identified three gaps in the current PLOL specification. All three produce situations where the document is technically compliant but practically insufficient. Three new mandatory fields address them. These are additions to the Semantic Contestability Record specification in Appendix B.</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The Falsification Condition as Lock Without Key</w:t>
            </w:r>
          </w:p>
          <w:p>
            <w:pPr>
              <w:spacing w:before="0" w:after="0"/>
            </w:pPr>
            <w:r>
              <w:rPr>
                <w:rFonts w:ascii="Georgia" w:cs="Georgia" w:eastAsia="Georgia" w:hAnsi="Georgia"/>
                <w:i/>
                <w:iCs/>
                <w:color w:val="1A1A1A"/>
                <w:sz w:val="22"/>
                <w:szCs w:val="22"/>
              </w:rPr>
              <w:t xml:space="preserve">"It is a lock, and the key is sitting in another building, in another person's salary, in another world of expertise. She does not close the document. She leaves it open on her screen, a window looking out onto a landscape she cannot enter but is forced to describe."</w:t>
            </w:r>
          </w:p>
        </w:tc>
      </w:tr>
    </w:tbl>
    <w:p>
      <w:pPr>
        <w:spacing w:before="0" w:after="60"/>
      </w:pPr>
      <w:r>
        <w:t xml:space="preserve"/>
      </w:r>
    </w:p>
    <w:p>
      <w:pPr>
        <w:pStyle w:val="Heading3"/>
        <w:spacing w:before="200" w:after="80"/>
      </w:pPr>
      <w:r>
        <w:rPr>
          <w:rFonts w:ascii="Arial" w:cs="Arial" w:eastAsia="Arial" w:hAnsi="Arial"/>
          <w:b/>
          <w:bCs/>
          <w:color w:val="1B3A5C"/>
          <w:sz w:val="23"/>
          <w:szCs w:val="23"/>
        </w:rPr>
        <w:t xml:space="preserve">Field A — Uncertainty Statement (Plain Language)</w:t>
      </w:r>
    </w:p>
    <w:p>
      <w:pPr>
        <w:spacing w:before="0" w:after="160"/>
        <w:jc w:val="both"/>
      </w:pPr>
      <w:r>
        <w:rPr>
          <w:rFonts w:ascii="Georgia" w:cs="Georgia" w:eastAsia="Georgia" w:hAnsi="Georgia"/>
          <w:color w:val="1A1A1A"/>
          <w:sz w:val="22"/>
          <w:szCs w:val="22"/>
        </w:rPr>
        <w:t xml:space="preserve">The uncertainty budget currently appears only in the Technical Reproducibility Record. The simulation showed that a community reading their PLOL has no way to know how much of what they are experiencing is visible to the system. A 0.61 soft-harm capture probability — a 39% miss rate on informal harms — is not only an expert-auditing concern. It is the community's right to know.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New Mandatory Field A: Uncertainty Statement</w:t>
            </w:r>
          </w:p>
          <w:p>
            <w:pPr>
              <w:spacing w:before="0" w:after="80"/>
            </w:pPr>
            <w:r>
              <w:rPr>
                <w:rFonts w:ascii="Arial" w:cs="Arial" w:eastAsia="Arial" w:hAnsi="Arial"/>
                <w:b/>
                <w:bCs/>
                <w:color w:val="1B3A5C"/>
                <w:sz w:val="20"/>
                <w:szCs w:val="20"/>
              </w:rPr>
              <w:t xml:space="preserve">WHAT THIS SYSTEM CAN AND CANNOT SEE</w:t>
            </w:r>
          </w:p>
          <w:p>
            <w:pPr>
              <w:spacing w:before="0" w:after="80"/>
            </w:pPr>
            <w:r>
              <w:rPr>
                <w:rFonts w:ascii="Georgia" w:cs="Georgia" w:eastAsia="Georgia" w:hAnsi="Georgia"/>
                <w:color w:val="1A1A1A"/>
                <w:sz w:val="22"/>
                <w:szCs w:val="22"/>
              </w:rPr>
              <w:t xml:space="preserve">Required content: A plain-language statement of the system's estimated capture rate for formal harms (documented, administrative-record-based) and informal harms (landlord pressure, service discouragement, verbal harassment, pre-eviction friction) for the relevant domains. Must be stated as a percentage or range legible to a non-expert. Must include a plain-language explanation of what causes the gap.</w:t>
            </w:r>
          </w:p>
          <w:p>
            <w:pPr>
              <w:spacing w:before="0" w:after="0"/>
            </w:pPr>
            <w:r>
              <w:rPr>
                <w:rFonts w:ascii="Georgia" w:cs="Georgia" w:eastAsia="Georgia" w:hAnsi="Georgia"/>
                <w:color w:val="1A1A1A"/>
                <w:sz w:val="22"/>
                <w:szCs w:val="22"/>
              </w:rPr>
              <w:t xml:space="preserve">Example: "This system estimates it is detecting approximately 61% of informal harms — such as landlord pressure, service delays, and verbal discouragement — that occur before formal documentation. This means roughly 4 in 10 informal harms in this category may not yet be visible to our measurements. If your community is experiencing harms that are not showing up in official records, these may be in the gap. You can report them directly through [channel]."</w:t>
            </w:r>
          </w:p>
        </w:tc>
      </w:tr>
    </w:tbl>
    <w:p>
      <w:pPr>
        <w:pStyle w:val="Heading3"/>
        <w:spacing w:before="200" w:after="80"/>
      </w:pPr>
      <w:r>
        <w:rPr>
          <w:rFonts w:ascii="Arial" w:cs="Arial" w:eastAsia="Arial" w:hAnsi="Arial"/>
          <w:b/>
          <w:bCs/>
          <w:color w:val="1B3A5C"/>
          <w:sz w:val="23"/>
          <w:szCs w:val="23"/>
        </w:rPr>
        <w:t xml:space="preserve">Field B — Immediate Limitation Disclosure</w:t>
      </w:r>
    </w:p>
    <w:p>
      <w:pPr>
        <w:spacing w:before="0" w:after="160"/>
        <w:jc w:val="both"/>
      </w:pPr>
      <w:r>
        <w:rPr>
          <w:rFonts w:ascii="Georgia" w:cs="Georgia" w:eastAsia="Georgia" w:hAnsi="Georgia"/>
          <w:color w:val="1A1A1A"/>
          <w:sz w:val="22"/>
          <w:szCs w:val="22"/>
        </w:rPr>
        <w:t xml:space="preserve">The simulation identified that communities interpret a Tier 1 classification as providing more immediate protection than it does. A classification that correctly observes harm without preventing it in the immediate term must say so plainly. Anything less is a misrepresentation by omission.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New Mandatory Field B: What This Classification Does Not Do Right Now</w:t>
            </w:r>
          </w:p>
          <w:p>
            <w:pPr>
              <w:spacing w:before="0" w:after="80"/>
            </w:pPr>
            <w:r>
              <w:rPr>
                <w:rFonts w:ascii="Arial" w:cs="Arial" w:eastAsia="Arial" w:hAnsi="Arial"/>
                <w:b/>
                <w:bCs/>
                <w:color w:val="1B3A5C"/>
                <w:sz w:val="20"/>
                <w:szCs w:val="20"/>
              </w:rPr>
              <w:t xml:space="preserve">WHAT THIS CLASSIFICATION DOES NOT DO RIGHT NOW</w:t>
            </w:r>
          </w:p>
          <w:p>
            <w:pPr>
              <w:spacing w:before="0" w:after="80"/>
            </w:pPr>
            <w:r>
              <w:rPr>
                <w:rFonts w:ascii="Georgia" w:cs="Georgia" w:eastAsia="Georgia" w:hAnsi="Georgia"/>
                <w:color w:val="1A1A1A"/>
                <w:sz w:val="22"/>
                <w:szCs w:val="22"/>
              </w:rPr>
              <w:t xml:space="preserve">Required content: An explicit statement that this classification does not stop any eviction, utility shutoff, harassment campaign, or other harm currently in progress. Must be followed immediately by a list of resources available to the community right now, independent of the AHC classification.</w:t>
            </w:r>
          </w:p>
          <w:p>
            <w:pPr>
              <w:spacing w:before="0" w:after="0"/>
            </w:pPr>
            <w:r>
              <w:rPr>
                <w:rFonts w:ascii="Georgia" w:cs="Georgia" w:eastAsia="Georgia" w:hAnsi="Georgia"/>
                <w:color w:val="1A1A1A"/>
                <w:sz w:val="22"/>
                <w:szCs w:val="22"/>
              </w:rPr>
              <w:t xml:space="preserve">Example: "This classification does not stop an eviction, a utility shutoff, or a harassment campaign that is currently happening. If you are facing an immediate housing emergency, these resources are available to you right now regardless of this classification's status: [emergency housing contacts, legal aid numbers, tenant organizing contacts, city emergency services]. The classification may lead to longer-term protections. It does not replace immediate help."</w:t>
            </w:r>
          </w:p>
        </w:tc>
      </w:tr>
    </w:tbl>
    <w:p>
      <w:pPr>
        <w:pStyle w:val="Heading3"/>
        <w:spacing w:before="200" w:after="80"/>
      </w:pPr>
      <w:r>
        <w:rPr>
          <w:rFonts w:ascii="Arial" w:cs="Arial" w:eastAsia="Arial" w:hAnsi="Arial"/>
          <w:b/>
          <w:bCs/>
          <w:color w:val="1B3A5C"/>
          <w:sz w:val="23"/>
          <w:szCs w:val="23"/>
        </w:rPr>
        <w:t xml:space="preserve">Field C — Resource Access Field</w:t>
      </w:r>
    </w:p>
    <w:p>
      <w:pPr>
        <w:spacing w:before="0" w:after="160"/>
        <w:jc w:val="both"/>
      </w:pPr>
      <w:r>
        <w:rPr>
          <w:rFonts w:ascii="Georgia" w:cs="Georgia" w:eastAsia="Georgia" w:hAnsi="Georgia"/>
          <w:color w:val="1A1A1A"/>
          <w:sz w:val="22"/>
          <w:szCs w:val="22"/>
        </w:rPr>
        <w:t xml:space="preserve">The falsification condition currently requires an independent qualified reviewer — a resource the affected community does not have access to through the capital routing the Tier 1 classification provides. The right and the resource are structurally decoupled. The PLOL must bridge this gap.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New Mandatory Field C: How to Exercise This Right</w:t>
            </w:r>
          </w:p>
          <w:p>
            <w:pPr>
              <w:spacing w:before="0" w:after="80"/>
            </w:pPr>
            <w:r>
              <w:rPr>
                <w:rFonts w:ascii="Arial" w:cs="Arial" w:eastAsia="Arial" w:hAnsi="Arial"/>
                <w:b/>
                <w:bCs/>
                <w:color w:val="1B3A5C"/>
                <w:sz w:val="20"/>
                <w:szCs w:val="20"/>
              </w:rPr>
              <w:t xml:space="preserve">IF YOU WANT TO CHALLENGE THIS CLASSIFICATION</w:t>
            </w:r>
          </w:p>
          <w:p>
            <w:pPr>
              <w:spacing w:before="0" w:after="80"/>
            </w:pPr>
            <w:r>
              <w:rPr>
                <w:rFonts w:ascii="Georgia" w:cs="Georgia" w:eastAsia="Georgia" w:hAnsi="Georgia"/>
                <w:color w:val="1A1A1A"/>
                <w:sz w:val="22"/>
                <w:szCs w:val="22"/>
              </w:rPr>
              <w:t xml:space="preserve">Required content: For each contestation pathway listed, the PLOL must state what resources or expertise are required to exercise it, and where those resources can be obtained. If the pathway requires expert statistical analysis, the document must name the Community Statistical Support Fund and provide access instructions.</w:t>
            </w:r>
          </w:p>
          <w:p>
            <w:pPr>
              <w:spacing w:before="0" w:after="0"/>
            </w:pPr>
            <w:r>
              <w:rPr>
                <w:rFonts w:ascii="Georgia" w:cs="Georgia" w:eastAsia="Georgia" w:hAnsi="Georgia"/>
                <w:color w:val="1A1A1A"/>
                <w:sz w:val="22"/>
                <w:szCs w:val="22"/>
              </w:rPr>
              <w:t xml:space="preserve">Example: "To request an independent review of this classification's statistical basis (the falsification condition above), you would need access to a qualified statistical reviewer. You do not need to provide this yourself. The Community Statistical Support Fund, funded through this classification's capital routing allocation, covers the cost of an independent reviewer upon community request. To request a reviewer: [channel and process]."</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6. Community Contact Architecture ⊙</w:t>
      </w:r>
    </w:p>
    <w:p>
      <w:pPr>
        <w:spacing w:before="0" w:after="160"/>
        <w:jc w:val="both"/>
      </w:pPr>
      <w:r>
        <w:rPr>
          <w:rFonts w:ascii="Georgia" w:cs="Georgia" w:eastAsia="Georgia" w:hAnsi="Georgia"/>
          <w:color w:val="1A1A1A"/>
          <w:sz w:val="22"/>
          <w:szCs w:val="22"/>
        </w:rPr>
        <w:t xml:space="preserve">Version 2 did not specify the mechanism through which communities contact the AHC system for methodology challenges, pause petitions, or general inquiries beyond the generic provision of 'web forms' and 'contact channels.' The simulation identified that the existing query taxonomy — a dropdown menu of pre-defined inquiry types — functions as a vocabulary capture mechanism, requiring communities to translate their concerns into the architecture's own categories before the system will process them.</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Query Taxonomy as Vocabulary Capture</w:t>
            </w:r>
          </w:p>
          <w:p>
            <w:pPr>
              <w:spacing w:before="0" w:after="80"/>
            </w:pPr>
            <w:r>
              <w:rPr>
                <w:rFonts w:ascii="Georgia" w:cs="Georgia" w:eastAsia="Georgia" w:hAnsi="Georgia"/>
                <w:i/>
                <w:iCs/>
                <w:color w:val="1A1A1A"/>
                <w:sz w:val="22"/>
                <w:szCs w:val="22"/>
              </w:rPr>
              <w:t xml:space="preserve">"The web form has a dropdown menu for 'Query Type.' The closest option is 'Methodology Clarification.' She types: The sensing architecture does not appear to be capturing informal landlord pressure and pre-eviction harassment. This creates a significant observational lag that mischaracterizes the causal pathway of harm in our cohort. She clicks Submit."</w:t>
            </w:r>
          </w:p>
          <w:p>
            <w:pPr>
              <w:spacing w:before="0" w:after="0"/>
            </w:pPr>
            <w:r>
              <w:rPr>
                <w:rFonts w:ascii="Georgia" w:cs="Georgia" w:eastAsia="Georgia" w:hAnsi="Georgia"/>
                <w:color w:val="1A1A1A"/>
                <w:sz w:val="22"/>
                <w:szCs w:val="22"/>
              </w:rPr>
              <w:t xml:space="preserve">The form categorizes Marisol's concern as a Methodology Clarification — a category that routes differently from a Sensing Architecture Gap, if that category existed. The translation is not neutral. The architecture delegated categorization to the affected community, reproducing the expertise asymmetry at the point of first contact.</w:t>
            </w:r>
          </w:p>
        </w:tc>
      </w:tr>
    </w:tbl>
    <w:p>
      <w:pPr>
        <w:spacing w:before="0" w:after="60"/>
      </w:pPr>
      <w:r>
        <w:t xml:space="preserve"/>
      </w:r>
    </w:p>
    <w:p>
      <w:pPr>
        <w:pStyle w:val="Heading2"/>
        <w:spacing w:before="300" w:after="120"/>
      </w:pPr>
      <w:r>
        <w:rPr>
          <w:rFonts w:ascii="Arial" w:cs="Arial" w:eastAsia="Arial" w:hAnsi="Arial"/>
          <w:b/>
          <w:bCs/>
          <w:color w:val="2E6DA4"/>
          <w:sz w:val="26"/>
          <w:szCs w:val="26"/>
        </w:rPr>
        <w:t xml:space="preserve">6.1 Revised Community Contact Standard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6.1  Community-First Vocabulary</w:t>
            </w:r>
          </w:p>
          <w:p>
            <w:pPr>
              <w:spacing w:before="0" w:after="0"/>
            </w:pPr>
            <w:r>
              <w:rPr>
                <w:rFonts w:ascii="Georgia" w:cs="Georgia" w:eastAsia="Georgia" w:hAnsi="Georgia"/>
                <w:color w:val="1A1A1A"/>
                <w:sz w:val="22"/>
                <w:szCs w:val="22"/>
              </w:rPr>
              <w:t xml:space="preserve">The community contact mechanism must accept concerns in plain language before categorizing them. Categorization is a function of the architecture's operators, not the affected community. No community concern may be rejected, delayed, or reduced in routing priority because the community was unable to identify the correct technical category for their concern.</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This requires the following contact architecture: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Community Contact Architecture Specification</w:t>
            </w:r>
          </w:p>
          <w:p>
            <w:pPr>
              <w:pStyle w:val="ListParagraph"/>
              <w:numPr>
                <w:ilvl w:val="0"/>
                <w:numId w:val="2"/>
              </w:numPr>
              <w:spacing w:before="40" w:after="60"/>
            </w:pPr>
            <w:r>
              <w:rPr>
                <w:rFonts w:ascii="Georgia" w:cs="Georgia" w:eastAsia="Georgia" w:hAnsi="Georgia"/>
                <w:b/>
                <w:bCs/>
                <w:color w:val="1A1A1A"/>
                <w:sz w:val="22"/>
                <w:szCs w:val="22"/>
              </w:rPr>
              <w:t xml:space="preserve">Primary field — open text: </w:t>
            </w:r>
            <w:r>
              <w:rPr>
                <w:rFonts w:ascii="Georgia" w:cs="Georgia" w:eastAsia="Georgia" w:hAnsi="Georgia"/>
                <w:color w:val="1A1A1A"/>
                <w:sz w:val="22"/>
                <w:szCs w:val="22"/>
              </w:rPr>
              <w:t xml:space="preserve">The first and primary contact field must be an open-text field with no required categorization. Character limit: minimum 2,000 characters. The prompt text should be: 'Describe what is happening in your community and what concerns you about how the system is responding.'</w:t>
            </w:r>
          </w:p>
          <w:p>
            <w:pPr>
              <w:pStyle w:val="ListParagraph"/>
              <w:numPr>
                <w:ilvl w:val="0"/>
                <w:numId w:val="2"/>
              </w:numPr>
              <w:spacing w:before="40" w:after="60"/>
            </w:pPr>
            <w:r>
              <w:rPr>
                <w:rFonts w:ascii="Georgia" w:cs="Georgia" w:eastAsia="Georgia" w:hAnsi="Georgia"/>
                <w:b/>
                <w:bCs/>
                <w:color w:val="1A1A1A"/>
                <w:sz w:val="22"/>
                <w:szCs w:val="22"/>
              </w:rPr>
              <w:t xml:space="preserve">Secondary field — optional categorization: </w:t>
            </w:r>
            <w:r>
              <w:rPr>
                <w:rFonts w:ascii="Georgia" w:cs="Georgia" w:eastAsia="Georgia" w:hAnsi="Georgia"/>
                <w:color w:val="1A1A1A"/>
                <w:sz w:val="22"/>
                <w:szCs w:val="22"/>
              </w:rPr>
              <w:t xml:space="preserve">A voluntary dropdown for communities who wish to self-categorize. Non-completion of this field cannot reduce routing priority or processing speed.</w:t>
            </w:r>
          </w:p>
          <w:p>
            <w:pPr>
              <w:pStyle w:val="ListParagraph"/>
              <w:numPr>
                <w:ilvl w:val="0"/>
                <w:numId w:val="2"/>
              </w:numPr>
              <w:spacing w:before="40" w:after="60"/>
            </w:pPr>
            <w:r>
              <w:rPr>
                <w:rFonts w:ascii="Georgia" w:cs="Georgia" w:eastAsia="Georgia" w:hAnsi="Georgia"/>
                <w:b/>
                <w:bCs/>
                <w:color w:val="1A1A1A"/>
                <w:sz w:val="22"/>
                <w:szCs w:val="22"/>
              </w:rPr>
              <w:t xml:space="preserve">Human routing: </w:t>
            </w:r>
            <w:r>
              <w:rPr>
                <w:rFonts w:ascii="Georgia" w:cs="Georgia" w:eastAsia="Georgia" w:hAnsi="Georgia"/>
                <w:color w:val="1A1A1A"/>
                <w:sz w:val="22"/>
                <w:szCs w:val="22"/>
              </w:rPr>
              <w:t xml:space="preserve">All contacts received through the primary open-text field are routed to a human reviewer for initial categorization within 5 business days. The reviewer's categorization is documented and shared with the submitting community, who may dispute the categorization.</w:t>
            </w:r>
          </w:p>
          <w:p>
            <w:pPr>
              <w:pStyle w:val="ListParagraph"/>
              <w:numPr>
                <w:ilvl w:val="0"/>
                <w:numId w:val="2"/>
              </w:numPr>
              <w:spacing w:before="40" w:after="60"/>
            </w:pPr>
            <w:r>
              <w:rPr>
                <w:rFonts w:ascii="Georgia" w:cs="Georgia" w:eastAsia="Georgia" w:hAnsi="Georgia"/>
                <w:b/>
                <w:bCs/>
                <w:color w:val="1A1A1A"/>
                <w:sz w:val="22"/>
                <w:szCs w:val="22"/>
              </w:rPr>
              <w:t xml:space="preserve">Acknowledgment timing: </w:t>
            </w:r>
            <w:r>
              <w:rPr>
                <w:rFonts w:ascii="Georgia" w:cs="Georgia" w:eastAsia="Georgia" w:hAnsi="Georgia"/>
                <w:color w:val="1A1A1A"/>
                <w:sz w:val="22"/>
                <w:szCs w:val="22"/>
              </w:rPr>
              <w:t xml:space="preserve">All contacts receive automated acknowledgment within 24 hours. All contacts receive human acknowledgment with categorization and routing information within 5 business days.</w:t>
            </w:r>
          </w:p>
          <w:p>
            <w:pPr>
              <w:pStyle w:val="ListParagraph"/>
              <w:numPr>
                <w:ilvl w:val="0"/>
                <w:numId w:val="2"/>
              </w:numPr>
              <w:spacing w:before="40" w:after="60"/>
            </w:pPr>
            <w:r>
              <w:rPr>
                <w:rFonts w:ascii="Georgia" w:cs="Georgia" w:eastAsia="Georgia" w:hAnsi="Georgia"/>
                <w:b/>
                <w:bCs/>
                <w:color w:val="1A1A1A"/>
                <w:sz w:val="22"/>
                <w:szCs w:val="22"/>
              </w:rPr>
              <w:t xml:space="preserve">Duty channel: </w:t>
            </w:r>
            <w:r>
              <w:rPr>
                <w:rFonts w:ascii="Georgia" w:cs="Georgia" w:eastAsia="Georgia" w:hAnsi="Georgia"/>
                <w:color w:val="1A1A1A"/>
                <w:sz w:val="22"/>
                <w:szCs w:val="22"/>
              </w:rPr>
              <w:t xml:space="preserve">A separate contact channel is maintained for time-sensitive concerns where the standard 5-business-day acknowledgment window is insufficient given the τ_decay timescale. This channel routes directly to the Classification Integrity Officer duty rotation. Access instructions must appear in the PLOL.</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7. Anti-Panopticon Sensing Architecture</w:t>
      </w:r>
    </w:p>
    <w:p>
      <w:pPr>
        <w:pStyle w:val="Heading2"/>
        <w:spacing w:before="300" w:after="120"/>
      </w:pPr>
      <w:r>
        <w:rPr>
          <w:rFonts w:ascii="Arial" w:cs="Arial" w:eastAsia="Arial" w:hAnsi="Arial"/>
          <w:b/>
          <w:bCs/>
          <w:color w:val="2E6DA4"/>
          <w:sz w:val="26"/>
          <w:szCs w:val="26"/>
        </w:rPr>
        <w:t xml:space="preserve">7.1 Zero-Knowledge Telemetry</w:t>
      </w:r>
    </w:p>
    <w:p>
      <w:pPr>
        <w:spacing w:before="0" w:after="160"/>
        <w:jc w:val="both"/>
      </w:pPr>
      <w:r>
        <w:rPr>
          <w:rFonts w:ascii="Georgia" w:cs="Georgia" w:eastAsia="Georgia" w:hAnsi="Georgia"/>
          <w:color w:val="1A1A1A"/>
          <w:sz w:val="22"/>
          <w:szCs w:val="22"/>
        </w:rPr>
        <w:t xml:space="preserve">Zero-Knowledge Telemetry (ZKT) is a sensing architecture in which the central manifold receives only privacy-preserving aggregates, derivatives, or inferential claims necessary for viability classification, together with cryptographic proofs sufficient to verify their authorized derivation, while being denied direct access to central personally identifying dossiers wherever feasible.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7.1  Minimal Central Knowledge</w:t>
            </w:r>
          </w:p>
          <w:p>
            <w:pPr>
              <w:spacing w:before="0" w:after="0"/>
            </w:pPr>
            <w:r>
              <w:rPr>
                <w:rFonts w:ascii="Georgia" w:cs="Georgia" w:eastAsia="Georgia" w:hAnsi="Georgia"/>
                <w:color w:val="1A1A1A"/>
                <w:sz w:val="22"/>
                <w:szCs w:val="22"/>
              </w:rPr>
              <w:t xml:space="preserve">The central AHC architecture should know enough to classify subgraph-level deterioration, and as little as possible beyond that.</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Open Problems 7.A-7.C (cross-domain joint inference without central microdata pooling; subgraph membership validation without identity exposure; privacy budgets preserving sensitivity) remain open and are addressed in Companion D [AHC-IMPL]. The interim specification for Phase 1 Diagnostic Mode uses Secure Aggregation with Differential Privacy noise addition at the node level [Bonawitz et al. 2017], with explicit ε budget declarations in the Technical Reproducibility Record. This is an interim standard, not the full ZKT specification.</w:t>
      </w:r>
    </w:p>
    <w:p>
      <w:pPr>
        <w:pStyle w:val="Heading2"/>
        <w:spacing w:before="300" w:after="120"/>
      </w:pPr>
      <w:r>
        <w:rPr>
          <w:rFonts w:ascii="Arial" w:cs="Arial" w:eastAsia="Arial" w:hAnsi="Arial"/>
          <w:b/>
          <w:bCs/>
          <w:color w:val="2E6DA4"/>
          <w:sz w:val="26"/>
          <w:szCs w:val="26"/>
        </w:rPr>
        <w:t xml:space="preserve">7.2 Interim Phase 1 Privacy Standard</w:t>
      </w:r>
    </w:p>
    <w:p>
      <w:pPr>
        <w:spacing w:before="0" w:after="160"/>
        <w:jc w:val="both"/>
      </w:pPr>
      <w:r>
        <w:rPr>
          <w:rFonts w:ascii="Georgia" w:cs="Georgia" w:eastAsia="Georgia" w:hAnsi="Georgia"/>
          <w:color w:val="1A1A1A"/>
          <w:sz w:val="22"/>
          <w:szCs w:val="22"/>
        </w:rPr>
        <w:t xml:space="preserve">During Phase 1 Diagnostic Mode, before full ZKT specification is available, the following minimum requirements apply:</w:t>
      </w:r>
    </w:p>
    <w:p>
      <w:pPr>
        <w:pStyle w:val="ListParagraph"/>
        <w:numPr>
          <w:ilvl w:val="0"/>
          <w:numId w:val="3"/>
        </w:numPr>
        <w:spacing w:before="40" w:after="60"/>
      </w:pPr>
      <w:r>
        <w:rPr>
          <w:rFonts w:ascii="Georgia" w:cs="Georgia" w:eastAsia="Georgia" w:hAnsi="Georgia"/>
          <w:b/>
          <w:bCs/>
          <w:color w:val="1A1A1A"/>
          <w:sz w:val="22"/>
          <w:szCs w:val="22"/>
        </w:rPr>
        <w:t xml:space="preserve">Secure Aggregation protocol: </w:t>
      </w:r>
      <w:r>
        <w:rPr>
          <w:rFonts w:ascii="Georgia" w:cs="Georgia" w:eastAsia="Georgia" w:hAnsi="Georgia"/>
          <w:color w:val="1A1A1A"/>
          <w:sz w:val="22"/>
          <w:szCs w:val="22"/>
        </w:rPr>
        <w:t xml:space="preserve">cross-domain compound vulnerability derivatives computed via Bonawitz et al. [2017] Secure Aggregation, preventing individual record exposure during aggregation</w:t>
      </w:r>
    </w:p>
    <w:p>
      <w:pPr>
        <w:pStyle w:val="ListParagraph"/>
        <w:numPr>
          <w:ilvl w:val="0"/>
          <w:numId w:val="3"/>
        </w:numPr>
        <w:spacing w:before="40" w:after="60"/>
      </w:pPr>
      <w:r>
        <w:rPr>
          <w:rFonts w:ascii="Georgia" w:cs="Georgia" w:eastAsia="Georgia" w:hAnsi="Georgia"/>
          <w:b/>
          <w:bCs/>
          <w:color w:val="1A1A1A"/>
          <w:sz w:val="22"/>
          <w:szCs w:val="22"/>
        </w:rPr>
        <w:t xml:space="preserve">Differential Privacy budget declared: </w:t>
      </w:r>
      <w:r>
        <w:rPr>
          <w:rFonts w:ascii="Georgia" w:cs="Georgia" w:eastAsia="Georgia" w:hAnsi="Georgia"/>
          <w:color w:val="1A1A1A"/>
          <w:sz w:val="22"/>
          <w:szCs w:val="22"/>
        </w:rPr>
        <w:t xml:space="preserve">ε ≤ 1.0 for housing and economic domains; ε ≤ 0.5 for health and legal domains. Budget consumption logged per reporting cycle</w:t>
      </w:r>
    </w:p>
    <w:p>
      <w:pPr>
        <w:pStyle w:val="ListParagraph"/>
        <w:numPr>
          <w:ilvl w:val="0"/>
          <w:numId w:val="3"/>
        </w:numPr>
        <w:spacing w:before="40" w:after="60"/>
      </w:pPr>
      <w:r>
        <w:rPr>
          <w:rFonts w:ascii="Georgia" w:cs="Georgia" w:eastAsia="Georgia" w:hAnsi="Georgia"/>
          <w:b/>
          <w:bCs/>
          <w:color w:val="1A1A1A"/>
          <w:sz w:val="22"/>
          <w:szCs w:val="22"/>
        </w:rPr>
        <w:t xml:space="preserve">Confidence intervals propagated: </w:t>
      </w:r>
      <w:r>
        <w:rPr>
          <w:rFonts w:ascii="Georgia" w:cs="Georgia" w:eastAsia="Georgia" w:hAnsi="Georgia"/>
          <w:color w:val="1A1A1A"/>
          <w:sz w:val="22"/>
          <w:szCs w:val="22"/>
        </w:rPr>
        <w:t xml:space="preserve">resulting confidence intervals on φ_{kl}(t) propagated through to classification uncertainty declarations in the PLOL Technical Reproducibility Record</w:t>
      </w:r>
    </w:p>
    <w:p>
      <w:pPr>
        <w:pStyle w:val="ListParagraph"/>
        <w:numPr>
          <w:ilvl w:val="0"/>
          <w:numId w:val="3"/>
        </w:numPr>
        <w:spacing w:before="40" w:after="60"/>
      </w:pPr>
      <w:r>
        <w:rPr>
          <w:rFonts w:ascii="Georgia" w:cs="Georgia" w:eastAsia="Georgia" w:hAnsi="Georgia"/>
          <w:b/>
          <w:bCs/>
          <w:color w:val="1A1A1A"/>
          <w:sz w:val="22"/>
          <w:szCs w:val="22"/>
        </w:rPr>
        <w:t xml:space="preserve">Individual non-identifiability: </w:t>
      </w:r>
      <w:r>
        <w:rPr>
          <w:rFonts w:ascii="Georgia" w:cs="Georgia" w:eastAsia="Georgia" w:hAnsi="Georgia"/>
          <w:color w:val="1A1A1A"/>
          <w:sz w:val="22"/>
          <w:szCs w:val="22"/>
        </w:rPr>
        <w:t xml:space="preserve">central manifold receives no data that permits identification of individuals whose contributions constitute the aggregate; verified by independent privacy audit at least annually</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8. Sentinel Node Architecture</w:t>
      </w:r>
    </w:p>
    <w:p>
      <w:pPr>
        <w:pStyle w:val="Heading2"/>
        <w:spacing w:before="300" w:after="120"/>
      </w:pPr>
      <w:r>
        <w:rPr>
          <w:rFonts w:ascii="Arial" w:cs="Arial" w:eastAsia="Arial" w:hAnsi="Arial"/>
          <w:b/>
          <w:bCs/>
          <w:color w:val="2E6DA4"/>
          <w:sz w:val="26"/>
          <w:szCs w:val="26"/>
        </w:rPr>
        <w:t xml:space="preserve">8.1 Institutional Participation</w:t>
      </w:r>
    </w:p>
    <w:p>
      <w:pPr>
        <w:spacing w:before="0" w:after="160"/>
        <w:jc w:val="both"/>
      </w:pPr>
      <w:r>
        <w:rPr>
          <w:rFonts w:ascii="Georgia" w:cs="Georgia" w:eastAsia="Georgia" w:hAnsi="Georgia"/>
          <w:color w:val="1A1A1A"/>
          <w:sz w:val="22"/>
          <w:szCs w:val="22"/>
        </w:rPr>
        <w:t xml:space="preserve">A sentinel node is an institution or organized civic infrastructure that contributes bounded, rights-relevant, privacy-preserving signals into the AHC sensing network under an authorized participation protocol. Participation requires governance procedures appropriate to the institution's sectoral obligations, including where relevant: data-use authorization, IRB-compatible review, board approval, participant disclosure, or federated member consent.</w:t>
      </w:r>
    </w:p>
    <w:p>
      <w:pPr>
        <w:pStyle w:val="Heading2"/>
        <w:spacing w:before="300" w:after="120"/>
      </w:pPr>
      <w:r>
        <w:rPr>
          <w:rFonts w:ascii="Arial" w:cs="Arial" w:eastAsia="Arial" w:hAnsi="Arial"/>
          <w:b/>
          <w:bCs/>
          <w:color w:val="2E6DA4"/>
          <w:sz w:val="26"/>
          <w:szCs w:val="26"/>
        </w:rPr>
        <w:t xml:space="preserve">8.2 Expanded Node Ecology</w:t>
      </w:r>
    </w:p>
    <w:p>
      <w:pPr>
        <w:spacing w:before="0" w:after="160"/>
        <w:jc w:val="both"/>
      </w:pPr>
      <w:r>
        <w:rPr>
          <w:rFonts w:ascii="Georgia" w:cs="Georgia" w:eastAsia="Georgia" w:hAnsi="Georgia"/>
          <w:color w:val="1A1A1A"/>
          <w:sz w:val="22"/>
          <w:szCs w:val="22"/>
        </w:rPr>
        <w:t xml:space="preserve">Version 2 drew the sentinel node ecology primarily from legal and medical institutions. The simulation and prior red team passes identified this as a vulnerability: narrative risk ('secret clinic surveillance network'), decapitation risk, and epistemic skew toward harms legible to those institutions. Version 3 specifies a broader ecology: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Institution Type</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Signal Domain</w:t>
            </w:r>
          </w:p>
        </w:tc>
        <w:tc>
          <w:tcPr>
            <w:tcW w:type="dxa" w:w="4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Participation Requirement</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Hospitals and community health clinics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Health domain — mortality, morbidity, access latency</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IRB-compatible review; patient disclosure protocol; HIPAA analysis</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Legal aid organizations and public defenders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Legal standing domain — credential validity, enforcement patterns</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Ethics board review; client consent protocol; privilege analysis</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Tenant defense organizations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Housing domain — eviction rates, fee disputes, displacement</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Board approval; beneficiary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Labor rights organizations and unions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Economic domain — wage theft, employment instability</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Member consent; labor law compliance review</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Libraries and community centers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Political domain — civic participation, information access</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Board approval; public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Disability advocacy organizations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Health and legal domains — access barriers, institutional friction</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Member consent; disability rights compliance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Food access networks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Economic and health domains — food insecurity, access friction</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Board approval; participant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Community mediation and benefits navigators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Cross-domain — bureaucratic discouragement, application abandonment</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Organizational consent; beneficiary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Municipal service watchdog entities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Cross-domain — service delays, wait time differentials</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Institutional authorization; public disclosure</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School support infrastructures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Cross-domain — family stability indicators, resource access</w:t>
            </w:r>
          </w:p>
        </w:tc>
        <w:tc>
          <w:tcPr>
            <w:tcW w:type="dxa" w:w="4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District authorization; family notification</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Node ecology diversification is required, not optional. No more than 40% of active sentinel nodes in any jurisdiction may come from a single institution type. This prevents both decapitation risk and epistemic monoculture.</w:t>
      </w:r>
    </w:p>
    <w:p>
      <w:pPr>
        <w:pStyle w:val="Heading2"/>
        <w:spacing w:before="300" w:after="120"/>
      </w:pPr>
      <w:r>
        <w:rPr>
          <w:rFonts w:ascii="Arial" w:cs="Arial" w:eastAsia="Arial" w:hAnsi="Arial"/>
          <w:b/>
          <w:bCs/>
          <w:color w:val="2E6DA4"/>
          <w:sz w:val="26"/>
          <w:szCs w:val="26"/>
        </w:rPr>
        <w:t xml:space="preserve">8.3 Sentinel Node Mutual Defense Protocol</w:t>
      </w:r>
    </w:p>
    <w:p>
      <w:pPr>
        <w:spacing w:before="0" w:after="160"/>
        <w:jc w:val="both"/>
      </w:pPr>
      <w:r>
        <w:rPr>
          <w:rFonts w:ascii="Georgia" w:cs="Georgia" w:eastAsia="Georgia" w:hAnsi="Georgia"/>
          <w:color w:val="1A1A1A"/>
          <w:sz w:val="22"/>
          <w:szCs w:val="22"/>
        </w:rPr>
        <w:t xml:space="preserve">When a sentinel node faces legal action, regulatory investigation, or coordinated discreditation campaign, the network's institutions have pre-committed obligations: (a) amicus or public support filings where legally appropriate; (b) resource sharing for legal defense costs up to a specified cap; (c) coordinated public statements affirming the node's participation status and methodology compliance. The credibility of the mutual defense commitment deters attacks on individual members.</w:t>
      </w:r>
    </w:p>
    <w:p>
      <w:pPr>
        <w:pStyle w:val="Heading2"/>
        <w:spacing w:before="300" w:after="120"/>
      </w:pPr>
      <w:r>
        <w:rPr>
          <w:rFonts w:ascii="Arial" w:cs="Arial" w:eastAsia="Arial" w:hAnsi="Arial"/>
          <w:b/>
          <w:bCs/>
          <w:color w:val="2E6DA4"/>
          <w:sz w:val="26"/>
          <w:szCs w:val="26"/>
        </w:rPr>
        <w:t xml:space="preserve">8.4 Absence-of-Signal Detection ⊙</w:t>
      </w:r>
    </w:p>
    <w:p>
      <w:pPr>
        <w:spacing w:before="0" w:after="160"/>
        <w:jc w:val="both"/>
      </w:pPr>
      <w:r>
        <w:rPr>
          <w:rFonts w:ascii="Georgia" w:cs="Georgia" w:eastAsia="Georgia" w:hAnsi="Georgia"/>
          <w:color w:val="1A1A1A"/>
          <w:sz w:val="22"/>
          <w:szCs w:val="22"/>
        </w:rPr>
        <w:t xml:space="preserve">The simulation suggested an infiltration variant not previously specified: a hostile or captured node that contributes no false signals but simply omits signals about certain harm types. This appears in the independence audit as low signal frequency from an apparently low-harm area, not as correlated-with-state output.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Principle 8.4  Minimum Signal Frequency Requirement</w:t>
            </w:r>
          </w:p>
          <w:p>
            <w:pPr>
              <w:spacing w:before="0" w:after="0"/>
            </w:pPr>
            <w:r>
              <w:rPr>
                <w:rFonts w:ascii="Georgia" w:cs="Georgia" w:eastAsia="Georgia" w:hAnsi="Georgia"/>
                <w:color w:val="1A1A1A"/>
                <w:sz w:val="22"/>
                <w:szCs w:val="22"/>
              </w:rPr>
              <w:t xml:space="preserve">Each sentinel node must maintain a minimum signal frequency appropriate to its institution type and jurisdiction size, calibrated during Phase 1 Diagnostic Mode against baseline expectations. A node in a jurisdiction showing leading indicator deterioration that produces no corresponding primary signals over a specified period triggers an absence-of-signal audit flag rather than silent acceptance. Absence-of-signal audits route to the Classification Integrity Officer duty rotation.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9. Friction-Based Subgraph Nomination and Standing Doctrine</w:t>
      </w:r>
    </w:p>
    <w:p>
      <w:pPr>
        <w:spacing w:before="0" w:after="160"/>
        <w:jc w:val="both"/>
      </w:pPr>
      <w:r>
        <w:rPr>
          <w:rFonts w:ascii="Georgia" w:cs="Georgia" w:eastAsia="Georgia" w:hAnsi="Georgia"/>
          <w:color w:val="1A1A1A"/>
          <w:sz w:val="22"/>
          <w:szCs w:val="22"/>
        </w:rPr>
        <w:t xml:space="preserve">Friction-Based Subgraph Nomination is the process by which recurrent, correlated, multidomain patterns of deterioration generate candidate cohorts for analytic visibility independent of rigid state-defined categories. Three cohort types with distinct standing are specified, plus the Overflow doctrine for cohorts that cannot be fully mapped onto existing legal categories.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7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Cohort Type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Standing</w:t>
            </w:r>
          </w:p>
        </w:tc>
        <w:tc>
          <w:tcPr>
            <w:tcW w:type="dxa" w:w="2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Triggers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Transition Requirement</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Signal Cohort</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Analytic only — no binding remedy; monitoring and early warning</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Friction-Based Nomination by ≥3 sentinel nodes showing correlated decay</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Persistence over ≥2 reporting cycles; public explanation; review opportunity; formal ratification</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Ratified Cohort</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Governance-relevant — threshold review, reporting, representation</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Signal cohort + democratic ratification under affected-party franchise</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Articulated source of enforceable standing; defined remedy pathway; legal framework interaction review</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Remedy-Bearing Cohort</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Full standing — binding legal, administrative, or treaty-based response eligible</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Ratified cohort + legal bridge to recognized protected class or treaty obligation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Ongoing monitoring; annual standing review</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Ratification franchise: the franchise for signal-to-ratified transition is limited to affected and relevant parties — affected community representatives, subject-matter experts, and civil society organizations with documented engagement with the cohort's conditions. General provincial or municipal referenda are not appropriate franchise definitions for cohort ratification, as they allow majorities whose interests conflict with the cohort's protection to block ratification of real vulnerability cohorts.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Overflow Doctrine  Appendix C.6</w:t>
            </w:r>
          </w:p>
          <w:p>
            <w:pPr>
              <w:spacing w:before="0" w:after="0"/>
            </w:pPr>
            <w:r>
              <w:rPr>
                <w:rFonts w:ascii="Georgia" w:cs="Georgia" w:eastAsia="Georgia" w:hAnsi="Georgia"/>
                <w:color w:val="1A1A1A"/>
                <w:sz w:val="22"/>
                <w:szCs w:val="22"/>
              </w:rPr>
              <w:t xml:space="preserve">Where a statistically real cohort cannot be fully mapped onto existing protected categories, Overflow is recorded as a legal-architecture gap rather than treated as proof of nonexistence. Overflow cohorts retain Signal Cohort monitoring status and generate a legal advocacy flag directing the architecture's institutional partners to pursue protective framework expansion.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10. Compound Event Operational Protocol ⊙</w:t>
      </w:r>
    </w:p>
    <w:p>
      <w:pPr>
        <w:spacing w:before="0" w:after="160"/>
        <w:jc w:val="both"/>
      </w:pPr>
      <w:r>
        <w:rPr>
          <w:rFonts w:ascii="Georgia" w:cs="Georgia" w:eastAsia="Georgia" w:hAnsi="Georgia"/>
          <w:color w:val="1A1A1A"/>
          <w:sz w:val="22"/>
          <w:szCs w:val="22"/>
        </w:rPr>
        <w:t xml:space="preserve">This section is new in v3, arising directly from the phenomenological simulation. It specifies the operational procedures for the Compound Event Interaction Flag defined in the master architecture amendment (AHC v3.1, Section 6.3).</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The Compound Event Weaponization Finding</w:t>
            </w:r>
          </w:p>
          <w:p>
            <w:pPr>
              <w:spacing w:before="0" w:after="80"/>
            </w:pPr>
            <w:r>
              <w:rPr>
                <w:rFonts w:ascii="Georgia" w:cs="Georgia" w:eastAsia="Georgia" w:hAnsi="Georgia"/>
                <w:i/>
                <w:iCs/>
                <w:color w:val="1A1A1A"/>
                <w:sz w:val="22"/>
                <w:szCs w:val="22"/>
              </w:rPr>
              <w:t xml:space="preserve">"Shut off order came through. Filed as 'Emergency Infrastructure Failure.' It bypassed the normal adjudication. It's an acute event, so they re-routed it... The architecture saw the water shutoff. It classified it as an acute, single-building event. It issued the correct order for that kind of event. The order was for the water to be restored, pending a real inspection. But the landlord called the crews first. The eviction was the faster event. The system was not built to see the truck and the box. It was built to see the paperwork. The paperwork is still in the 60-day review."</w:t>
            </w:r>
          </w:p>
          <w:p>
            <w:pPr>
              <w:spacing w:before="0" w:after="0"/>
            </w:pPr>
            <w:r>
              <w:rPr>
                <w:rFonts w:ascii="Georgia" w:cs="Georgia" w:eastAsia="Georgia" w:hAnsi="Georgia"/>
                <w:color w:val="1A1A1A"/>
                <w:sz w:val="22"/>
                <w:szCs w:val="22"/>
              </w:rPr>
              <w:t xml:space="preserve">Both classifications were correct. Neither was sufficient. The interaction between them produced the harm. This is the Compound Event Weaponization vulnerability: the deliberate generation of an acute event as a tool for executing a slow-decay harm that is simultaneously under review.</w:t>
            </w:r>
          </w:p>
        </w:tc>
      </w:tr>
    </w:tbl>
    <w:p>
      <w:pPr>
        <w:spacing w:before="0" w:after="60"/>
      </w:pPr>
      <w:r>
        <w:t xml:space="preserve"/>
      </w:r>
    </w:p>
    <w:p>
      <w:pPr>
        <w:pStyle w:val="Heading2"/>
        <w:spacing w:before="300" w:after="120"/>
      </w:pPr>
      <w:r>
        <w:rPr>
          <w:rFonts w:ascii="Arial" w:cs="Arial" w:eastAsia="Arial" w:hAnsi="Arial"/>
          <w:b/>
          <w:bCs/>
          <w:color w:val="2E6DA4"/>
          <w:sz w:val="26"/>
          <w:szCs w:val="26"/>
        </w:rPr>
        <w:t xml:space="preserve">10.1 Compound Event Detection and Flagging</w:t>
      </w:r>
    </w:p>
    <w:p>
      <w:pPr>
        <w:spacing w:before="0" w:after="160"/>
        <w:jc w:val="both"/>
      </w:pPr>
      <w:r>
        <w:rPr>
          <w:rFonts w:ascii="Georgia" w:cs="Georgia" w:eastAsia="Georgia" w:hAnsi="Georgia"/>
          <w:color w:val="1A1A1A"/>
          <w:sz w:val="22"/>
          <w:szCs w:val="22"/>
        </w:rPr>
        <w:t xml:space="preserve">A compound event flag is automatically applied to any acute event (</w:t>
      </w:r>
      <w:r>
        <w:rPr>
          <w:rFonts w:ascii="Cambria Math" w:cs="Cambria Math" w:eastAsia="Cambria Math" w:hAnsi="Cambria Math"/>
          <w:i/>
          <w:iCs/>
          <w:color w:val="1B3A5C"/>
          <w:sz w:val="22"/>
          <w:szCs w:val="22"/>
        </w:rPr>
        <w:t xml:space="preserve">τ_{decay} &lt; 72h</w:t>
      </w:r>
      <w:r>
        <w:rPr>
          <w:rFonts w:ascii="Georgia" w:cs="Georgia" w:eastAsia="Georgia" w:hAnsi="Georgia"/>
          <w:color w:val="1A1A1A"/>
          <w:sz w:val="22"/>
          <w:szCs w:val="22"/>
        </w:rPr>
        <w:t xml:space="preserve">) occurring in a building, block, or jurisdiction with an active slow-decay classification (Tier 1 or above) in any overlapping access domain. The flag triggers the Compound Event Independence Test before the acute event is processed as an isolated classification.</w:t>
      </w:r>
    </w:p>
    <w:p>
      <w:pPr>
        <w:pStyle w:val="Heading2"/>
        <w:spacing w:before="300" w:after="120"/>
      </w:pPr>
      <w:r>
        <w:rPr>
          <w:rFonts w:ascii="Arial" w:cs="Arial" w:eastAsia="Arial" w:hAnsi="Arial"/>
          <w:b/>
          <w:bCs/>
          <w:color w:val="2E6DA4"/>
          <w:sz w:val="26"/>
          <w:szCs w:val="26"/>
        </w:rPr>
        <w:t xml:space="preserve">10.2 Community Notification Under Compound Review</w:t>
      </w:r>
    </w:p>
    <w:p>
      <w:pPr>
        <w:spacing w:before="0" w:after="160"/>
        <w:jc w:val="both"/>
      </w:pPr>
      <w:r>
        <w:rPr>
          <w:rFonts w:ascii="Georgia" w:cs="Georgia" w:eastAsia="Georgia" w:hAnsi="Georgia"/>
          <w:color w:val="1A1A1A"/>
          <w:sz w:val="22"/>
          <w:szCs w:val="22"/>
        </w:rPr>
        <w:t xml:space="preserve">When a compound event flag is applied, the affected community receives immediate notification: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Compound Event Community Notification — Required Content</w:t>
            </w:r>
          </w:p>
          <w:p>
            <w:pPr>
              <w:pStyle w:val="ListParagraph"/>
              <w:numPr>
                <w:ilvl w:val="0"/>
                <w:numId w:val="2"/>
              </w:numPr>
              <w:spacing w:before="40" w:after="60"/>
            </w:pPr>
            <w:r>
              <w:rPr>
                <w:rFonts w:ascii="Georgia" w:cs="Georgia" w:eastAsia="Georgia" w:hAnsi="Georgia"/>
                <w:b/>
                <w:bCs/>
                <w:color w:val="1A1A1A"/>
                <w:sz w:val="22"/>
                <w:szCs w:val="22"/>
              </w:rPr>
              <w:t xml:space="preserve">Flag notice: </w:t>
            </w:r>
            <w:r>
              <w:rPr>
                <w:rFonts w:ascii="Georgia" w:cs="Georgia" w:eastAsia="Georgia" w:hAnsi="Georgia"/>
                <w:color w:val="1A1A1A"/>
                <w:sz w:val="22"/>
                <w:szCs w:val="22"/>
              </w:rPr>
              <w:t xml:space="preserve">'An event affecting your community has been flagged for compound event review because your community has an active classification. This means we are assessing whether these two things are connected before processing the new event as independent.'</w:t>
            </w:r>
          </w:p>
          <w:p>
            <w:pPr>
              <w:pStyle w:val="ListParagraph"/>
              <w:numPr>
                <w:ilvl w:val="0"/>
                <w:numId w:val="2"/>
              </w:numPr>
              <w:spacing w:before="40" w:after="60"/>
            </w:pPr>
            <w:r>
              <w:rPr>
                <w:rFonts w:ascii="Georgia" w:cs="Georgia" w:eastAsia="Georgia" w:hAnsi="Georgia"/>
                <w:b/>
                <w:bCs/>
                <w:color w:val="1A1A1A"/>
                <w:sz w:val="22"/>
                <w:szCs w:val="22"/>
              </w:rPr>
              <w:t xml:space="preserve">Hold notice: </w:t>
            </w:r>
            <w:r>
              <w:rPr>
                <w:rFonts w:ascii="Georgia" w:cs="Georgia" w:eastAsia="Georgia" w:hAnsi="Georgia"/>
                <w:color w:val="1A1A1A"/>
                <w:sz w:val="22"/>
                <w:szCs w:val="22"/>
              </w:rPr>
              <w:t xml:space="preserve">'A temporary hold has been placed on any displacement or forced exit associated with this event while the assessment is conducted. The hold duration is [X hours].'</w:t>
            </w:r>
          </w:p>
          <w:p>
            <w:pPr>
              <w:pStyle w:val="ListParagraph"/>
              <w:numPr>
                <w:ilvl w:val="0"/>
                <w:numId w:val="2"/>
              </w:numPr>
              <w:spacing w:before="40" w:after="60"/>
            </w:pPr>
            <w:r>
              <w:rPr>
                <w:rFonts w:ascii="Georgia" w:cs="Georgia" w:eastAsia="Georgia" w:hAnsi="Georgia"/>
                <w:b/>
                <w:bCs/>
                <w:color w:val="1A1A1A"/>
                <w:sz w:val="22"/>
                <w:szCs w:val="22"/>
              </w:rPr>
              <w:t xml:space="preserve">Contact: </w:t>
            </w:r>
            <w:r>
              <w:rPr>
                <w:rFonts w:ascii="Georgia" w:cs="Georgia" w:eastAsia="Georgia" w:hAnsi="Georgia"/>
                <w:color w:val="1A1A1A"/>
                <w:sz w:val="22"/>
                <w:szCs w:val="22"/>
              </w:rPr>
              <w:t xml:space="preserve">'The duty Classification Integrity Officer for your jurisdiction is reachable at [duty channel] for the duration of this review. You do not need to reach a specific named individual — the duty channel routes to the officer on call.'</w:t>
            </w:r>
          </w:p>
          <w:p>
            <w:pPr>
              <w:pStyle w:val="ListParagraph"/>
              <w:numPr>
                <w:ilvl w:val="0"/>
                <w:numId w:val="2"/>
              </w:numPr>
              <w:spacing w:before="40" w:after="60"/>
            </w:pPr>
            <w:r>
              <w:rPr>
                <w:rFonts w:ascii="Georgia" w:cs="Georgia" w:eastAsia="Georgia" w:hAnsi="Georgia"/>
                <w:b/>
                <w:bCs/>
                <w:color w:val="1A1A1A"/>
                <w:sz w:val="22"/>
                <w:szCs w:val="22"/>
              </w:rPr>
              <w:t xml:space="preserve">Timeline: </w:t>
            </w:r>
            <w:r>
              <w:rPr>
                <w:rFonts w:ascii="Georgia" w:cs="Georgia" w:eastAsia="Georgia" w:hAnsi="Georgia"/>
                <w:color w:val="1A1A1A"/>
                <w:sz w:val="22"/>
                <w:szCs w:val="22"/>
              </w:rPr>
              <w:t xml:space="preserve">'You will receive an update within [X hours] with the outcome of the compound event assessment and what it means for your community.'</w:t>
            </w:r>
          </w:p>
        </w:tc>
      </w:tr>
    </w:tbl>
    <w:p>
      <w:pPr>
        <w:pStyle w:val="Heading2"/>
        <w:spacing w:before="300" w:after="120"/>
      </w:pPr>
      <w:r>
        <w:rPr>
          <w:rFonts w:ascii="Arial" w:cs="Arial" w:eastAsia="Arial" w:hAnsi="Arial"/>
          <w:b/>
          <w:bCs/>
          <w:color w:val="2E6DA4"/>
          <w:sz w:val="26"/>
          <w:szCs w:val="26"/>
        </w:rPr>
        <w:t xml:space="preserve">10.3 PLOL Addition: Compound Cause Notation</w:t>
      </w:r>
    </w:p>
    <w:p>
      <w:pPr>
        <w:spacing w:before="0" w:after="160"/>
        <w:jc w:val="both"/>
      </w:pPr>
      <w:r>
        <w:rPr>
          <w:rFonts w:ascii="Georgia" w:cs="Georgia" w:eastAsia="Georgia" w:hAnsi="Georgia"/>
          <w:color w:val="1A1A1A"/>
          <w:sz w:val="22"/>
          <w:szCs w:val="22"/>
        </w:rPr>
        <w:t xml:space="preserve">When a compound event is confirmed, the PLOL for the affected community receives a Compound Cause Notation — a new mandatory field appended to both the slow-decay classification PLOL and the acute event PLOL: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Compound Cause Notation — Required Content</w:t>
            </w:r>
          </w:p>
          <w:p>
            <w:pPr>
              <w:spacing w:before="0" w:after="80"/>
            </w:pPr>
            <w:r>
              <w:rPr>
                <w:rFonts w:ascii="Arial" w:cs="Arial" w:eastAsia="Arial" w:hAnsi="Arial"/>
                <w:b/>
                <w:bCs/>
                <w:color w:val="1B3A5C"/>
                <w:sz w:val="20"/>
                <w:szCs w:val="20"/>
              </w:rPr>
              <w:t xml:space="preserve">COMPOUND EVENT ASSESSMENT</w:t>
            </w:r>
          </w:p>
          <w:p>
            <w:pPr>
              <w:spacing w:before="0" w:after="0"/>
            </w:pPr>
            <w:r>
              <w:rPr>
                <w:rFonts w:ascii="Georgia" w:cs="Georgia" w:eastAsia="Georgia" w:hAnsi="Georgia"/>
                <w:color w:val="1A1A1A"/>
                <w:sz w:val="22"/>
                <w:szCs w:val="22"/>
              </w:rPr>
              <w:t xml:space="preserve">Required content: (1) That an acute event in this jurisdiction was assessed in relation to the active slow-decay classification. (2) The outcome of the assessment (confirmed compound / assessed as independent). (3) What this means for the community's ongoing classification status. (4) The audit record linking the two classifications, accessible through the hash bridge.</w:t>
            </w:r>
          </w:p>
        </w:tc>
      </w:tr>
    </w:tbl>
    <w:p>
      <w:pPr>
        <w:pStyle w:val="Heading2"/>
        <w:spacing w:before="300" w:after="120"/>
      </w:pPr>
      <w:r>
        <w:rPr>
          <w:rFonts w:ascii="Arial" w:cs="Arial" w:eastAsia="Arial" w:hAnsi="Arial"/>
          <w:b/>
          <w:bCs/>
          <w:color w:val="2E6DA4"/>
          <w:sz w:val="26"/>
          <w:szCs w:val="26"/>
        </w:rPr>
        <w:t xml:space="preserve">10.4 The Harder Scenario</w:t>
      </w:r>
    </w:p>
    <w:p>
      <w:pPr>
        <w:spacing w:before="0" w:after="160"/>
        <w:jc w:val="both"/>
      </w:pPr>
      <w:r>
        <w:rPr>
          <w:rFonts w:ascii="Georgia" w:cs="Georgia" w:eastAsia="Georgia" w:hAnsi="Georgia"/>
          <w:color w:val="1A1A1A"/>
          <w:sz w:val="22"/>
          <w:szCs w:val="22"/>
        </w:rPr>
        <w:t xml:space="preserve">The simulation rendered the compound event in a jurisdiction with an organized community capable of filing a pause petition and interpreting the PLOL. The harder scenario — and a subject for a future simulation pass — is a jurisdiction experiencing the same compound event weaponization without Marisol: no community organization, no law student ally, no institutional literacy sufficient to navigate the contact architecture. The compound event protocol specified here requires a community capable of receiving and acting on the notification. A future simulation should test whether the protocol's community notification design reaches communities without this organizational infrastructure.</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11. Community Standing, Contestation, and Pause Powers</w:t>
      </w:r>
    </w:p>
    <w:p>
      <w:pPr>
        <w:pStyle w:val="Heading2"/>
        <w:spacing w:before="300" w:after="120"/>
      </w:pPr>
      <w:r>
        <w:rPr>
          <w:rFonts w:ascii="Arial" w:cs="Arial" w:eastAsia="Arial" w:hAnsi="Arial"/>
          <w:b/>
          <w:bCs/>
          <w:color w:val="2E6DA4"/>
          <w:sz w:val="26"/>
          <w:szCs w:val="26"/>
        </w:rPr>
        <w:t xml:space="preserve">11.1 The Distrust Recognition Principle</w:t>
      </w:r>
    </w:p>
    <w:p>
      <w:pPr>
        <w:spacing w:before="0" w:after="160"/>
        <w:jc w:val="both"/>
      </w:pPr>
      <w:r>
        <w:rPr>
          <w:rFonts w:ascii="Georgia" w:cs="Georgia" w:eastAsia="Georgia" w:hAnsi="Georgia"/>
          <w:color w:val="1A1A1A"/>
          <w:sz w:val="22"/>
          <w:szCs w:val="22"/>
        </w:rPr>
        <w:t xml:space="preserve">Layer 0 must preserve enforceable rights for affected populations regardless of whether those populations trust the architecture. A rights-protective cybernetic architecture that treats distrust as a communication failure rather than a constitutional condition is structurally vulnerable to reproducing the very domination it claims to resist.</w:t>
      </w:r>
    </w:p>
    <w:p>
      <w:pPr>
        <w:pStyle w:val="Heading2"/>
        <w:spacing w:before="300" w:after="120"/>
      </w:pPr>
      <w:r>
        <w:rPr>
          <w:rFonts w:ascii="Arial" w:cs="Arial" w:eastAsia="Arial" w:hAnsi="Arial"/>
          <w:b/>
          <w:bCs/>
          <w:color w:val="2E6DA4"/>
          <w:sz w:val="26"/>
          <w:szCs w:val="26"/>
        </w:rPr>
        <w:t xml:space="preserve">11.2 Community Standing</w:t>
      </w:r>
    </w:p>
    <w:p>
      <w:pPr>
        <w:spacing w:before="0" w:after="160"/>
        <w:jc w:val="both"/>
      </w:pPr>
      <w:r>
        <w:rPr>
          <w:rFonts w:ascii="Georgia" w:cs="Georgia" w:eastAsia="Georgia" w:hAnsi="Georgia"/>
          <w:color w:val="1A1A1A"/>
          <w:sz w:val="22"/>
          <w:szCs w:val="22"/>
        </w:rPr>
        <w:t xml:space="preserve">Community standing is the formally recognized authority of affected populations or their accountable representative bodies to challenge methodology, contest local deployment, trigger review, and seek pause or remand under ratified procedures. Community standing is a constitutional requirement of Layer 0, not a communication strategy.</w:t>
      </w:r>
    </w:p>
    <w:p>
      <w:pPr>
        <w:pStyle w:val="Heading2"/>
        <w:spacing w:before="300" w:after="120"/>
      </w:pPr>
      <w:r>
        <w:rPr>
          <w:rFonts w:ascii="Arial" w:cs="Arial" w:eastAsia="Arial" w:hAnsi="Arial"/>
          <w:b/>
          <w:bCs/>
          <w:color w:val="2E6DA4"/>
          <w:sz w:val="26"/>
          <w:szCs w:val="26"/>
        </w:rPr>
        <w:t xml:space="preserve">11.3 Pause Powers — Revised Standard</w:t>
      </w:r>
    </w:p>
    <w:p>
      <w:pPr>
        <w:spacing w:before="0" w:after="160"/>
        <w:jc w:val="both"/>
      </w:pPr>
      <w:r>
        <w:rPr>
          <w:rFonts w:ascii="Georgia" w:cs="Georgia" w:eastAsia="Georgia" w:hAnsi="Georgia"/>
          <w:color w:val="1A1A1A"/>
          <w:sz w:val="22"/>
          <w:szCs w:val="22"/>
        </w:rPr>
        <w:t xml:space="preserve">A pause power is a procedurally specified capacity by which affected communities may suspend deployment, expansion, or local incorporation of the architecture pending review of a rights-relevant challenge. Version 3 adds a formal standard for cognizable versus non-cognizable pause grounds, following identification of the dual failure modes of chilling effect (making petitioning socially costly) and petition flooding (overwhelming the system with frivolous petitions).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60"/>
        <w:gridCol w:w="35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Pause Petition Type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Cognizability</w:t>
            </w:r>
          </w:p>
        </w:tc>
        <w:tc>
          <w:tcPr>
            <w:tcW w:type="dxa" w:w="1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Review Timeline</w:t>
            </w:r>
          </w:p>
        </w:tc>
        <w:tc>
          <w:tcPr>
            <w:tcW w:type="dxa" w:w="3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Effect During Review</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Methodology challenge with specified factual basis</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Cognizable</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Standard: 60 days; Emergency: 14 days</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Standard: classification active. Emergency: partial hold on expansion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Local node composition dispute with documented evidence</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Cognizable</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30 days</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Node contribution to classification flagged pending review</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Cohort mapping challenge with identified legal framework gap</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Cognizable</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45 days</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Overflow doctrine applied pending resolution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General objection to AHC as a concept</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Not cognizable — rejected within 5 days</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N/A</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effect on classification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Objection that classification is politically inconvenient</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Not cognizable — rejected within 5 days</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N/A</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effect on classification</w:t>
            </w:r>
          </w:p>
        </w:tc>
      </w:tr>
      <w:tr>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Objection that methodology is complex without specifying a flaw</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Not cognizable — community contact channel recommended instead</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N/A</w:t>
            </w:r>
          </w:p>
        </w:tc>
        <w:tc>
          <w:tcPr>
            <w:tcW w:type="dxa" w:w="3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effect on classification</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11.4 Anti-Flooding Mechanism</w:t>
      </w:r>
    </w:p>
    <w:p>
      <w:pPr>
        <w:spacing w:before="0" w:after="160"/>
        <w:jc w:val="both"/>
      </w:pPr>
      <w:r>
        <w:rPr>
          <w:rFonts w:ascii="Georgia" w:cs="Georgia" w:eastAsia="Georgia" w:hAnsi="Georgia"/>
          <w:color w:val="1A1A1A"/>
          <w:sz w:val="22"/>
          <w:szCs w:val="22"/>
        </w:rPr>
        <w:t xml:space="preserve">When petition volume from a single jurisdiction exceeds a calibrated baseline rate, the system flags for coordinated review — distinguishing between genuine community concern generating multiple petitions and coordinated petition flooding. Coordinated flooding patterns route to the Tribunal's Parameter Legitimacy Review channel as evidence of bad-faith engagement, not to the standard pause petition review.</w:t>
      </w:r>
    </w:p>
    <w:p>
      <w:pPr>
        <w:pStyle w:val="Heading2"/>
        <w:spacing w:before="300" w:after="120"/>
      </w:pPr>
      <w:r>
        <w:rPr>
          <w:rFonts w:ascii="Arial" w:cs="Arial" w:eastAsia="Arial" w:hAnsi="Arial"/>
          <w:b/>
          <w:bCs/>
          <w:color w:val="2E6DA4"/>
          <w:sz w:val="26"/>
          <w:szCs w:val="26"/>
        </w:rPr>
        <w:t xml:space="preserve">11.5 Pause Power Scope — Jurisdiction-Specific</w:t>
      </w:r>
    </w:p>
    <w:p>
      <w:pPr>
        <w:spacing w:before="0" w:after="160"/>
        <w:jc w:val="both"/>
      </w:pPr>
      <w:r>
        <w:rPr>
          <w:rFonts w:ascii="Georgia" w:cs="Georgia" w:eastAsia="Georgia" w:hAnsi="Georgia"/>
          <w:color w:val="1A1A1A"/>
          <w:sz w:val="22"/>
          <w:szCs w:val="22"/>
        </w:rPr>
        <w:t xml:space="preserve">Pause powers are community-specific in scope. A community's pause power halts deployment in their specific jurisdiction or as applied to their specific cohort. It does not halt deployment for other communities. This prevents the veto-as-fracture attack: using one community's pause power to halt protective measures that benefit other communities, manufacturing inter-community conflict to fracture the political coalition supporting the architecture.</w:t>
      </w:r>
    </w:p>
    <w:p>
      <w:pPr>
        <w:pStyle w:val="Heading2"/>
        <w:spacing w:before="300" w:after="120"/>
      </w:pPr>
      <w:r>
        <w:rPr>
          <w:rFonts w:ascii="Arial" w:cs="Arial" w:eastAsia="Arial" w:hAnsi="Arial"/>
          <w:b/>
          <w:bCs/>
          <w:color w:val="2E6DA4"/>
          <w:sz w:val="26"/>
          <w:szCs w:val="26"/>
        </w:rPr>
        <w:t xml:space="preserve">11.6 Community Statistical Support Fund ⊙</w:t>
      </w:r>
    </w:p>
    <w:p>
      <w:pPr>
        <w:spacing w:before="0" w:after="160"/>
        <w:jc w:val="both"/>
      </w:pPr>
      <w:r>
        <w:rPr>
          <w:rFonts w:ascii="Georgia" w:cs="Georgia" w:eastAsia="Georgia" w:hAnsi="Georgia"/>
          <w:color w:val="1A1A1A"/>
          <w:sz w:val="22"/>
          <w:szCs w:val="22"/>
        </w:rPr>
        <w:t xml:space="preserve">The simulation identified that Tier 1 capital routing provides resources for operational costs but not for the expert statistical analysis required to exercise the right to contest methodology. The right and the resource are structurally decoupled. Version 3 adds the Community Statistical Support Fund as a mandatory allocation within Tier 1 capital routing.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Community Statistical Support Fund  Mandatory Tier 1 Allocation</w:t>
            </w:r>
          </w:p>
          <w:p>
            <w:pPr>
              <w:spacing w:before="0" w:after="80"/>
            </w:pPr>
            <w:r>
              <w:rPr>
                <w:rFonts w:ascii="Arial" w:cs="Arial" w:eastAsia="Arial" w:hAnsi="Arial"/>
                <w:b/>
                <w:bCs/>
                <w:color w:val="1A5C2E"/>
                <w:sz w:val="020"/>
                <w:szCs w:val="020"/>
              </w:rPr>
              <w:t xml:space="preserve">Allocation requirement: </w:t>
            </w:r>
            <w:r>
              <w:rPr>
                <w:rFonts w:ascii="Georgia" w:cs="Georgia" w:eastAsia="Georgia" w:hAnsi="Georgia"/>
                <w:color w:val="1A1A1A"/>
                <w:sz w:val="22"/>
                <w:szCs w:val="22"/>
              </w:rPr>
              <w:t xml:space="preserve">A minimum of 15% of Tier 1 capital routing to any jurisdiction must be designated as Community Statistical Support Fund resources, held in accessible reserve for community use.</w:t>
            </w:r>
          </w:p>
          <w:p>
            <w:pPr>
              <w:spacing w:before="0" w:after="80"/>
            </w:pPr>
            <w:r>
              <w:rPr>
                <w:rFonts w:ascii="Arial" w:cs="Arial" w:eastAsia="Arial" w:hAnsi="Arial"/>
                <w:b/>
                <w:bCs/>
                <w:color w:val="1A5C2E"/>
                <w:sz w:val="020"/>
                <w:szCs w:val="020"/>
              </w:rPr>
              <w:t xml:space="preserve">Access: </w:t>
            </w:r>
            <w:r>
              <w:rPr>
                <w:rFonts w:ascii="Georgia" w:cs="Georgia" w:eastAsia="Georgia" w:hAnsi="Georgia"/>
                <w:color w:val="1A1A1A"/>
                <w:sz w:val="22"/>
                <w:szCs w:val="22"/>
              </w:rPr>
              <w:t xml:space="preserve">Any community with an active cognizable pause petition or methodology challenge may request access to Fund resources to cover the cost of an independent qualified reviewer. Access is provided within 10 business days of request.</w:t>
            </w:r>
          </w:p>
          <w:p>
            <w:pPr>
              <w:spacing w:before="0" w:after="0"/>
            </w:pPr>
            <w:r>
              <w:rPr>
                <w:rFonts w:ascii="Arial" w:cs="Arial" w:eastAsia="Arial" w:hAnsi="Arial"/>
                <w:b/>
                <w:bCs/>
                <w:color w:val="1A5C2E"/>
                <w:sz w:val="020"/>
                <w:szCs w:val="020"/>
              </w:rPr>
              <w:t xml:space="preserve">Fund integrity: </w:t>
            </w:r>
            <w:r>
              <w:rPr>
                <w:rFonts w:ascii="Georgia" w:cs="Georgia" w:eastAsia="Georgia" w:hAnsi="Georgia"/>
                <w:color w:val="1A1A1A"/>
                <w:sz w:val="22"/>
                <w:szCs w:val="22"/>
              </w:rPr>
              <w:t xml:space="preserve">Fund resources may not be redirected to operational costs regardless of budget pressure. This is a non-regression protected allocation — reduction below 15% requires an 80% supermajority under the governance franchise layer.</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12. Governance Franchise Layer</w:t>
      </w:r>
    </w:p>
    <w:p>
      <w:pPr>
        <w:pStyle w:val="Heading2"/>
        <w:spacing w:before="300" w:after="120"/>
      </w:pPr>
      <w:r>
        <w:rPr>
          <w:rFonts w:ascii="Arial" w:cs="Arial" w:eastAsia="Arial" w:hAnsi="Arial"/>
          <w:b/>
          <w:bCs/>
          <w:color w:val="2E6DA4"/>
          <w:sz w:val="26"/>
          <w:szCs w:val="26"/>
        </w:rPr>
        <w:t xml:space="preserve">12.1 Privacy-Preserving Civic Franchise Verification</w:t>
      </w:r>
    </w:p>
    <w:p>
      <w:pPr>
        <w:spacing w:before="0" w:after="160"/>
        <w:jc w:val="both"/>
      </w:pPr>
      <w:r>
        <w:rPr>
          <w:rFonts w:ascii="Georgia" w:cs="Georgia" w:eastAsia="Georgia" w:hAnsi="Georgia"/>
          <w:color w:val="1A1A1A"/>
          <w:sz w:val="22"/>
          <w:szCs w:val="22"/>
        </w:rPr>
        <w:t xml:space="preserve">Governance votes over parameter updates are weighted by verified unique personhood rather than token holdings or institutional membership, using privacy-preserving civic franchise verification. The mechanism preserves one-person-one-vote ratification integrity while minimizing Sybil manipulation, privacy exposure, and coercive access distortions.</w:t>
      </w:r>
    </w:p>
    <w:p>
      <w:pPr>
        <w:pStyle w:val="Heading2"/>
        <w:spacing w:before="300" w:after="120"/>
      </w:pPr>
      <w:r>
        <w:rPr>
          <w:rFonts w:ascii="Arial" w:cs="Arial" w:eastAsia="Arial" w:hAnsi="Arial"/>
          <w:b/>
          <w:bCs/>
          <w:color w:val="2E6DA4"/>
          <w:sz w:val="26"/>
          <w:szCs w:val="26"/>
        </w:rPr>
        <w:t xml:space="preserve">12.2 Non-Regression Ratchet and Distinction from Recalibration</w:t>
      </w:r>
    </w:p>
    <w:p>
      <w:pPr>
        <w:spacing w:before="0" w:after="160"/>
        <w:jc w:val="both"/>
      </w:pPr>
      <w:r>
        <w:rPr>
          <w:rFonts w:ascii="Georgia" w:cs="Georgia" w:eastAsia="Georgia" w:hAnsi="Georgia"/>
          <w:color w:val="1A1A1A"/>
          <w:sz w:val="22"/>
          <w:szCs w:val="22"/>
        </w:rPr>
        <w:t xml:space="preserve">Any update that reduces the architecture's protective sensitivity requires a higher burden than an update that expands, refines, or clarifies protections (Principle 10.1). Rollback and recalibration are constitutionally distinct acts requiring distinct evidentiary procedures (Proposition 10.1). The full specification of this distinction and the Recalibration Procedure appears in Appendix F.</w:t>
      </w:r>
    </w:p>
    <w:p>
      <w:pPr>
        <w:pStyle w:val="Heading2"/>
        <w:spacing w:before="300" w:after="120"/>
      </w:pPr>
      <w:r>
        <w:rPr>
          <w:rFonts w:ascii="Arial" w:cs="Arial" w:eastAsia="Arial" w:hAnsi="Arial"/>
          <w:b/>
          <w:bCs/>
          <w:color w:val="2E6DA4"/>
          <w:sz w:val="26"/>
          <w:szCs w:val="26"/>
        </w:rPr>
        <w:t xml:space="preserve">12.3 Crisis Frequency Cap</w:t>
      </w:r>
    </w:p>
    <w:p>
      <w:pPr>
        <w:spacing w:before="0" w:after="160"/>
        <w:jc w:val="both"/>
      </w:pPr>
      <w:r>
        <w:rPr>
          <w:rFonts w:ascii="Georgia" w:cs="Georgia" w:eastAsia="Georgia" w:hAnsi="Georgia"/>
          <w:color w:val="1A1A1A"/>
          <w:sz w:val="22"/>
          <w:szCs w:val="22"/>
        </w:rPr>
        <w:t xml:space="preserve">Emergency authority for any subgraph is unavailable for renewal when emergency has been active more than </w:t>
      </w:r>
      <w:r>
        <w:rPr>
          <w:rFonts w:ascii="Cambria Math" w:cs="Cambria Math" w:eastAsia="Cambria Math" w:hAnsi="Cambria Math"/>
          <w:i/>
          <w:iCs/>
          <w:color w:val="1B3A5C"/>
          <w:sz w:val="22"/>
          <w:szCs w:val="22"/>
        </w:rPr>
        <w:t xml:space="preserve">T_{cap}</w:t>
      </w:r>
      <w:r>
        <w:rPr>
          <w:rFonts w:ascii="Georgia" w:cs="Georgia" w:eastAsia="Georgia" w:hAnsi="Georgia"/>
          <w:color w:val="1A1A1A"/>
          <w:sz w:val="22"/>
          <w:szCs w:val="22"/>
        </w:rPr>
        <w:t xml:space="preserve"> days in a rolling 24-month window (specified at 180 days). Continued terminal threshold exceedance after the cap escalates to Structural Review Protocol: mandatory full Layer 0 constitutional review producing either a formal remediation plan, a constitutional amendment process, or an explicit threshold recalibration decision. Emergency authority cannot resume until one of these outputs is produced and enacted.</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13. Tribunal and Appeals Architecture</w:t>
      </w:r>
    </w:p>
    <w:p>
      <w:pPr>
        <w:spacing w:before="0" w:after="160"/>
        <w:jc w:val="both"/>
      </w:pPr>
      <w:r>
        <w:rPr>
          <w:rFonts w:ascii="Georgia" w:cs="Georgia" w:eastAsia="Georgia" w:hAnsi="Georgia"/>
          <w:color w:val="1A1A1A"/>
          <w:sz w:val="22"/>
          <w:szCs w:val="22"/>
        </w:rPr>
        <w:t xml:space="preserve">The International Epistemic Tribunal acts as the final appellate body with a strictly epistemic standard of review: states may not defeat a rights-relevant classification merely by appealing to domestic necessity, policy preference, or institutional convenience. They must succeed on one of three distinct review channels.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960"/>
        <w:gridCol w:w="15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Review Channel</w:t>
            </w:r>
          </w:p>
        </w:tc>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Core Object</w:t>
            </w:r>
          </w:p>
        </w:tc>
        <w:tc>
          <w:tcPr>
            <w:tcW w:type="dxa" w:w="2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Main Failure Mode</w:t>
            </w:r>
          </w:p>
        </w:tc>
        <w:tc>
          <w:tcPr>
            <w:tcW w:type="dxa" w:w="19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Standard of Proof</w:t>
            </w:r>
          </w:p>
        </w:tc>
        <w:tc>
          <w:tcPr>
            <w:tcW w:type="dxa" w:w="1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Typical Remedy</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Integrity Review</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Inputs and provenance</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Corruption, tampering, invalid derivation</w:t>
            </w:r>
          </w:p>
        </w:tc>
        <w:tc>
          <w:tcPr>
            <w:tcW w:type="dxa" w:w="1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Balance of evidence — untampered inputs</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Exclusion, purge, recomputation</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Inference Review</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Classification logic</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Misclassification, improper tiering, methodological misuse</w:t>
            </w:r>
          </w:p>
        </w:tc>
        <w:tc>
          <w:tcPr>
            <w:tcW w:type="dxa" w:w="1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Clear and convincing — deviation from published methodology</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Reversal, remand, correction</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Parameter Legitimacy Review</w:t>
            </w:r>
          </w:p>
        </w:tc>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Governing rule state</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Invalid thresholds, illegitimate updates, improper opacity expansion</w:t>
            </w:r>
          </w:p>
        </w:tc>
        <w:tc>
          <w:tcPr>
            <w:tcW w:type="dxa" w:w="1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Preponderance — unauthorized parameter state</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Suspension, re-ratification, reevaluation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14. Institutional Birth Roadmap</w:t>
      </w:r>
    </w:p>
    <w:p>
      <w:pPr>
        <w:spacing w:before="0" w:after="160"/>
        <w:jc w:val="both"/>
      </w:pPr>
      <w:r>
        <w:rPr>
          <w:rFonts w:ascii="Georgia" w:cs="Georgia" w:eastAsia="Georgia" w:hAnsi="Georgia"/>
          <w:color w:val="1A1A1A"/>
          <w:sz w:val="22"/>
          <w:szCs w:val="22"/>
        </w:rPr>
        <w:t xml:space="preserve">Three institutional modes of operation — Diagnostic, Domestic Embedding, and Federated Treaty — are dominant modes, not rigid chronological silos. They may overlap, recurse, and partially co-exist. The transition criteria below specify minimum conditions for each mode to be operative, not for the prior mode to cease.</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4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Mode</w:t>
            </w:r>
          </w:p>
        </w:tc>
        <w:tc>
          <w:tcPr>
            <w:tcW w:type="dxa" w:w="348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Minimum Operability Conditions</w:t>
            </w:r>
          </w:p>
        </w:tc>
        <w:tc>
          <w:tcPr>
            <w:tcW w:type="dxa" w:w="40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Phase Transition Criteria to Next Mode</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Diagnostic Mode (IPCC model)</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Openly declared methodology; published uncertainty conventions; benchmark comparators; reproducible audit pathway; at least one external replication path in a peer-reviewed venue or by an independent research group</w:t>
            </w:r>
          </w:p>
        </w:tc>
        <w:tc>
          <w:tcPr>
            <w:tcW w:type="dxa" w:w="40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≥3 documented cases of superior predictive validity vs. state aggregate metrics; ≥2 peer-reviewed publications validating ZKT methodology; ≥1 federal or equivalent court admission under Daubert or equivalent evidentiary standard</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Domestic Embedding Mode (CBO model)</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Operational PLOL; review-compatible audit structures; documented external validation; institutional uptake by ≥1 lawful actor; appeal pathways avoiding unreviewable insertion</w:t>
            </w:r>
          </w:p>
        </w:tc>
        <w:tc>
          <w:tcPr>
            <w:tcW w:type="dxa" w:w="40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≥5 municipalities or states with formal AHC review requirements; ≥3 peer democracies with independent AHC implementations; Phase 1 criteria still satisfied</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Federated Treaty Mode (FSB model)</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Multiple independent implementations; recognized review channels; interoperable reporting standards; defined relation to existing rights institutions; complementarity or treaty mechanism assigning standing</w:t>
            </w:r>
          </w:p>
        </w:tc>
        <w:tc>
          <w:tcPr>
            <w:tcW w:type="dxa" w:w="404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Treaty ratification by ≥12 states; Tribunal operational; ≥1 case heard and ruling recognized by non-party states</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The Complementarity Principle governs Phase 3: federated AHC institutions default toward complementarity with existing treaty bodies (ICCPR, ICESCR, CEDAW, CERD, regional human rights courts) unless replacement or supersession is explicitly justified. Building on existing legitimacy is institutionally more plausible than minting new legitimacy from scratch.</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15. Epistemic Validation Protocol</w:t>
      </w:r>
    </w:p>
    <w:p>
      <w:pPr>
        <w:spacing w:before="0" w:after="160"/>
        <w:jc w:val="both"/>
      </w:pPr>
      <w:r>
        <w:rPr>
          <w:rFonts w:ascii="Georgia" w:cs="Georgia" w:eastAsia="Georgia" w:hAnsi="Georgia"/>
          <w:color w:val="1A1A1A"/>
          <w:sz w:val="22"/>
          <w:szCs w:val="22"/>
        </w:rPr>
        <w:t xml:space="preserve">Claims of predictive superiority or rights-detection advantage must be validated through externally legible replication and benchmark comparison. Without this, AHC remains epistemically interesting but constitutionally premature (Proposition 13.1).</w:t>
      </w:r>
    </w:p>
    <w:p>
      <w:pPr>
        <w:spacing w:before="0" w:after="160"/>
        <w:jc w:val="both"/>
      </w:pPr>
      <w:r>
        <w:rPr>
          <w:rFonts w:ascii="Georgia" w:cs="Georgia" w:eastAsia="Georgia" w:hAnsi="Georgia"/>
          <w:color w:val="1A1A1A"/>
          <w:sz w:val="22"/>
          <w:szCs w:val="22"/>
        </w:rPr>
        <w:t xml:space="preserve">The external validator must be an institution with no funding relationship with AHC's development institutions. The benchmark comparator must be specified in advance as the specific aggregate metric AHC claims to outperform, on a pre-specified task with pre-specified success criteria. The minimum case count for predictive superiority claims is three independently documented cases.</w:t>
      </w:r>
    </w:p>
    <w:p>
      <w:pPr>
        <w:spacing w:before="0" w:after="160"/>
        <w:jc w:val="both"/>
      </w:pPr>
      <w:r>
        <w:rPr>
          <w:rFonts w:ascii="Georgia" w:cs="Georgia" w:eastAsia="Georgia" w:hAnsi="Georgia"/>
          <w:color w:val="1A1A1A"/>
          <w:sz w:val="22"/>
          <w:szCs w:val="22"/>
        </w:rPr>
        <w:t xml:space="preserve">The phenomenological simulation is now a permanent component of the epistemic validation protocol. Before any major specification change affecting community-facing interfaces, a simulation calibrated to the new specification is required as part of the pre-release review process.</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16. International Embedding and Treaty Complementarity</w:t>
      </w:r>
    </w:p>
    <w:p>
      <w:pPr>
        <w:spacing w:before="0" w:after="160"/>
        <w:jc w:val="both"/>
      </w:pPr>
      <w:r>
        <w:rPr>
          <w:rFonts w:ascii="Georgia" w:cs="Georgia" w:eastAsia="Georgia" w:hAnsi="Georgia"/>
          <w:color w:val="1A1A1A"/>
          <w:sz w:val="22"/>
          <w:szCs w:val="22"/>
        </w:rPr>
        <w:t xml:space="preserve">The Federated Viability Treaty architecture should be designed as complementarity with existing treaty bodies rather than replacement. The FVT's enforcement mechanisms supplement ICCPR Article 2, ICESCR Articles 2-3, CERD's non-discrimination provisions, and regional human rights court jurisdictions. The standing doctrine for AHC-derived evidence before existing treaty bodies is a Phase 2 objective: establishing that AHC viability field outputs meet the evidentiary standards of the Human Rights Committee's General Comment 36 and the Committee on Economic, Social and Cultural Rights' reporting framework.</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17. Limits, Open Problems, and Failure Modes — Revised</w:t>
      </w:r>
    </w:p>
    <w:p>
      <w:pPr>
        <w:pStyle w:val="Heading2"/>
        <w:spacing w:before="300" w:after="120"/>
      </w:pPr>
      <w:r>
        <w:rPr>
          <w:rFonts w:ascii="Arial" w:cs="Arial" w:eastAsia="Arial" w:hAnsi="Arial"/>
          <w:b/>
          <w:bCs/>
          <w:color w:val="2E6DA4"/>
          <w:sz w:val="26"/>
          <w:szCs w:val="26"/>
        </w:rPr>
        <w:t xml:space="preserve">17.1 Limits Unchanged from v2</w:t>
      </w:r>
    </w:p>
    <w:p>
      <w:pPr>
        <w:spacing w:before="0" w:after="160"/>
        <w:jc w:val="both"/>
      </w:pPr>
      <w:r>
        <w:rPr>
          <w:rFonts w:ascii="Georgia" w:cs="Georgia" w:eastAsia="Georgia" w:hAnsi="Georgia"/>
          <w:b/>
          <w:bCs/>
          <w:color w:val="1A1A1A"/>
          <w:sz w:val="22"/>
          <w:szCs w:val="22"/>
        </w:rPr>
        <w:t xml:space="preserve">Limit 15.1: </w:t>
      </w:r>
      <w:r>
        <w:rPr>
          <w:rFonts w:ascii="Georgia" w:cs="Georgia" w:eastAsia="Georgia" w:hAnsi="Georgia"/>
          <w:color w:val="1A1A1A"/>
          <w:sz w:val="22"/>
          <w:szCs w:val="22"/>
        </w:rPr>
        <w:t xml:space="preserve">Trust displacement is managed, not abolished.</w:t>
      </w:r>
    </w:p>
    <w:p>
      <w:pPr>
        <w:spacing w:before="0" w:after="160"/>
        <w:jc w:val="both"/>
      </w:pPr>
      <w:r>
        <w:rPr>
          <w:rFonts w:ascii="Georgia" w:cs="Georgia" w:eastAsia="Georgia" w:hAnsi="Georgia"/>
          <w:b/>
          <w:bCs/>
          <w:color w:val="1A1A1A"/>
          <w:sz w:val="22"/>
          <w:szCs w:val="22"/>
        </w:rPr>
        <w:t xml:space="preserve">Limit 15.2: </w:t>
      </w:r>
      <w:r>
        <w:rPr>
          <w:rFonts w:ascii="Georgia" w:cs="Georgia" w:eastAsia="Georgia" w:hAnsi="Georgia"/>
          <w:color w:val="1A1A1A"/>
          <w:sz w:val="22"/>
          <w:szCs w:val="22"/>
        </w:rPr>
        <w:t xml:space="preserve">Observability lag is reduced, not eliminated.</w:t>
      </w:r>
    </w:p>
    <w:p>
      <w:pPr>
        <w:spacing w:before="0" w:after="160"/>
        <w:jc w:val="both"/>
      </w:pPr>
      <w:r>
        <w:rPr>
          <w:rFonts w:ascii="Georgia" w:cs="Georgia" w:eastAsia="Georgia" w:hAnsi="Georgia"/>
          <w:b/>
          <w:bCs/>
          <w:color w:val="1A1A1A"/>
          <w:sz w:val="22"/>
          <w:szCs w:val="22"/>
        </w:rPr>
        <w:t xml:space="preserve">Limit 15.3: </w:t>
      </w:r>
      <w:r>
        <w:rPr>
          <w:rFonts w:ascii="Georgia" w:cs="Georgia" w:eastAsia="Georgia" w:hAnsi="Georgia"/>
          <w:color w:val="1A1A1A"/>
          <w:sz w:val="22"/>
          <w:szCs w:val="22"/>
        </w:rPr>
        <w:t xml:space="preserve">Adversarial adaptation is permanent.</w:t>
      </w:r>
    </w:p>
    <w:p>
      <w:pPr>
        <w:spacing w:before="0" w:after="160"/>
        <w:jc w:val="both"/>
      </w:pPr>
      <w:r>
        <w:rPr>
          <w:rFonts w:ascii="Georgia" w:cs="Georgia" w:eastAsia="Georgia" w:hAnsi="Georgia"/>
          <w:b/>
          <w:bCs/>
          <w:color w:val="1A1A1A"/>
          <w:sz w:val="22"/>
          <w:szCs w:val="22"/>
        </w:rPr>
        <w:t xml:space="preserve">Limit 15.4: </w:t>
      </w:r>
      <w:r>
        <w:rPr>
          <w:rFonts w:ascii="Georgia" w:cs="Georgia" w:eastAsia="Georgia" w:hAnsi="Georgia"/>
          <w:color w:val="1A1A1A"/>
          <w:sz w:val="22"/>
          <w:szCs w:val="22"/>
        </w:rPr>
        <w:t xml:space="preserve">ZKT remains technically underdetermined until privacy-preserving joint inference and membership validation are more fully specified.</w:t>
      </w:r>
    </w:p>
    <w:p>
      <w:pPr>
        <w:spacing w:before="0" w:after="160"/>
        <w:jc w:val="both"/>
      </w:pPr>
      <w:r>
        <w:rPr>
          <w:rFonts w:ascii="Georgia" w:cs="Georgia" w:eastAsia="Georgia" w:hAnsi="Georgia"/>
          <w:b/>
          <w:bCs/>
          <w:color w:val="1A1A1A"/>
          <w:sz w:val="22"/>
          <w:szCs w:val="22"/>
        </w:rPr>
        <w:t xml:space="preserve">Limit 15.5: </w:t>
      </w:r>
      <w:r>
        <w:rPr>
          <w:rFonts w:ascii="Georgia" w:cs="Georgia" w:eastAsia="Georgia" w:hAnsi="Georgia"/>
          <w:color w:val="1A1A1A"/>
          <w:sz w:val="22"/>
          <w:szCs w:val="22"/>
        </w:rPr>
        <w:t xml:space="preserve">The governance franchise layer remains vulnerable to coercion and access asymmetry.</w:t>
      </w:r>
    </w:p>
    <w:p>
      <w:pPr>
        <w:spacing w:before="0" w:after="160"/>
        <w:jc w:val="both"/>
      </w:pPr>
      <w:r>
        <w:rPr>
          <w:rFonts w:ascii="Georgia" w:cs="Georgia" w:eastAsia="Georgia" w:hAnsi="Georgia"/>
          <w:b/>
          <w:bCs/>
          <w:color w:val="1A1A1A"/>
          <w:sz w:val="22"/>
          <w:szCs w:val="22"/>
        </w:rPr>
        <w:t xml:space="preserve">Limit 15.6: </w:t>
      </w:r>
      <w:r>
        <w:rPr>
          <w:rFonts w:ascii="Georgia" w:cs="Georgia" w:eastAsia="Georgia" w:hAnsi="Georgia"/>
          <w:color w:val="1A1A1A"/>
          <w:sz w:val="22"/>
          <w:szCs w:val="22"/>
        </w:rPr>
        <w:t xml:space="preserve">The institutional birth problem remains the deepest unresolved wound.</w:t>
      </w:r>
    </w:p>
    <w:p>
      <w:pPr>
        <w:pStyle w:val="Heading2"/>
        <w:spacing w:before="300" w:after="120"/>
      </w:pPr>
      <w:r>
        <w:rPr>
          <w:rFonts w:ascii="Arial" w:cs="Arial" w:eastAsia="Arial" w:hAnsi="Arial"/>
          <w:b/>
          <w:bCs/>
          <w:color w:val="2E6DA4"/>
          <w:sz w:val="26"/>
          <w:szCs w:val="26"/>
        </w:rPr>
        <w:t xml:space="preserve">17.2 Two New Limits from Simulation ⊙</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Limit 17.7 — The Architecture's Correctness as Its Own Wall</w:t>
            </w:r>
          </w:p>
          <w:p>
            <w:pPr>
              <w:spacing w:before="0" w:after="80"/>
            </w:pPr>
            <w:r>
              <w:rPr>
                <w:rFonts w:ascii="Georgia" w:cs="Georgia" w:eastAsia="Georgia" w:hAnsi="Georgia"/>
                <w:i/>
                <w:iCs/>
                <w:color w:val="1A1A1A"/>
                <w:sz w:val="22"/>
                <w:szCs w:val="22"/>
              </w:rPr>
              <w:t xml:space="preserve">"The architecture is working exactly as it is supposed to. It gave them a right, and they exercised it. It received the exercise of that right, and it logged it, and it initiated the correct protocol."</w:t>
            </w:r>
          </w:p>
          <w:p>
            <w:pPr>
              <w:spacing w:before="0" w:after="0"/>
            </w:pPr>
            <w:r>
              <w:rPr>
                <w:rFonts w:ascii="Georgia" w:cs="Georgia" w:eastAsia="Georgia" w:hAnsi="Georgia"/>
                <w:b/>
                <w:bCs/>
                <w:color w:val="1A1A1A"/>
                <w:sz w:val="22"/>
                <w:szCs w:val="22"/>
              </w:rPr>
              <w:t xml:space="preserve">Limit 17.7: </w:t>
            </w:r>
            <w:r>
              <w:rPr>
                <w:rFonts w:ascii="Georgia" w:cs="Georgia" w:eastAsia="Georgia" w:hAnsi="Georgia"/>
                <w:color w:val="1A1A1A"/>
                <w:sz w:val="22"/>
                <w:szCs w:val="22"/>
              </w:rPr>
              <w:t xml:space="preserve">A technically correct architecture operating at its designed speed may be insufficient protection when harm operates at a different speed. No specification addition resolves this limit. It is named as a design truth: AHC can detect harm, document it correctly, route resources, and initiate review — all correctly — while a family is displaced within the review window. The architecture is not broken in this scenario. It is operating at the boundary of what rights-protective documentation can do without the enforcement authority to stop harm in real time. This limit should be stated plainly in community-facing materials.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
              <w:bottom w:val="single" w:color="2E5C8A" w:sz="1"/>
              <w:right w:val="single" w:color="2E5C8A" w:sz="1"/>
            </w:tcBorders>
            <w:shd w:fill="F0F4F8" w:val="clear"/>
            <w:tcMar>
              <w:top w:type="dxa" w:w="160"/>
              <w:left w:type="dxa" w:w="240"/>
              <w:bottom w:type="dxa" w:w="160"/>
              <w:right w:type="dxa" w:w="240"/>
            </w:tcMar>
          </w:tcPr>
          <w:p>
            <w:pPr>
              <w:spacing w:before="0" w:after="80"/>
            </w:pPr>
            <w:r>
              <w:rPr>
                <w:rFonts w:ascii="Arial" w:cs="Arial" w:eastAsia="Arial" w:hAnsi="Arial"/>
                <w:b/>
                <w:bCs/>
                <w:color w:val="1A3A5C"/>
                <w:sz w:val="21"/>
                <w:szCs w:val="21"/>
              </w:rPr>
              <w:t xml:space="preserve">⊙  Simulation Finding — Limit 17.8 — The Organization Prerequisite</w:t>
            </w:r>
          </w:p>
          <w:p>
            <w:pPr>
              <w:spacing w:before="0" w:after="80"/>
            </w:pPr>
            <w:r>
              <w:rPr>
                <w:rFonts w:ascii="Georgia" w:cs="Georgia" w:eastAsia="Georgia" w:hAnsi="Georgia"/>
                <w:color w:val="1A1A1A"/>
                <w:sz w:val="22"/>
                <w:szCs w:val="22"/>
              </w:rPr>
              <w:t xml:space="preserve">The simulation rendered AHC's community-facing architecture being navigated by Marisol: a 20-year community organizer with an active organization, a law student ally, and sufficient institutional literacy to read and re-read the PLOL, file a pause petition, identify Derek in the technical record, and frame a methodologically precise methodology challenge.</w:t>
            </w:r>
          </w:p>
          <w:p>
            <w:pPr>
              <w:spacing w:before="0" w:after="0"/>
            </w:pPr>
            <w:r>
              <w:rPr>
                <w:rFonts w:ascii="Georgia" w:cs="Georgia" w:eastAsia="Georgia" w:hAnsi="Georgia"/>
                <w:b/>
                <w:bCs/>
                <w:color w:val="1A1A1A"/>
                <w:sz w:val="22"/>
                <w:szCs w:val="22"/>
              </w:rPr>
              <w:t xml:space="preserve">Limit 17.8: </w:t>
            </w:r>
            <w:r>
              <w:rPr>
                <w:rFonts w:ascii="Georgia" w:cs="Georgia" w:eastAsia="Georgia" w:hAnsi="Georgia"/>
                <w:color w:val="1A1A1A"/>
                <w:sz w:val="22"/>
                <w:szCs w:val="22"/>
              </w:rPr>
              <w:t xml:space="preserve">The Community Standing Minimal Rights Charter, the pause petition mechanism, the community contact architecture, and the Community Statistical Support Fund all require a community with sufficient organizational infrastructure to access them. The architecture's protections are formally available to all affected communities. They are practically accessible only to communities with organizational capacity. A future simulation should test the architecture's behavior in a jurisdiction experiencing the same harm without the organizational infrastructure present in the v3 simulation. This is a design gap that the current specification does not resolve.</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18. Conclusion</w:t>
      </w:r>
    </w:p>
    <w:p>
      <w:pPr>
        <w:spacing w:before="0" w:after="160"/>
        <w:jc w:val="both"/>
      </w:pPr>
      <w:r>
        <w:rPr>
          <w:rFonts w:ascii="Georgia" w:cs="Georgia" w:eastAsia="Georgia" w:hAnsi="Georgia"/>
          <w:color w:val="1A1A1A"/>
          <w:sz w:val="22"/>
          <w:szCs w:val="22"/>
        </w:rPr>
        <w:t xml:space="preserve">Layer 0 is not the machinery that asks vulnerable populations to trust a mathematically sophisticated system because its designers promise that it is just. It is the machinery that guarantees those populations retain standing, contestation rights, pause powers, review pathways, and intelligible explanation whether or not trust exists.</w:t>
      </w:r>
    </w:p>
    <w:p>
      <w:pPr>
        <w:spacing w:before="0" w:after="160"/>
        <w:jc w:val="both"/>
      </w:pPr>
      <w:r>
        <w:rPr>
          <w:rFonts w:ascii="Georgia" w:cs="Georgia" w:eastAsia="Georgia" w:hAnsi="Georgia"/>
          <w:color w:val="1A1A1A"/>
          <w:sz w:val="22"/>
          <w:szCs w:val="22"/>
        </w:rPr>
        <w:t xml:space="preserve">Version 3 adds five specification improvements arising from a phenomenological simulation that analytical methods did not reach. The compound event protocol, the community contact architecture, the statistical support fund, the revised PLOL fields, and the clarified Layer 0B footer all emerged from rendering the architecture's correct operation from inside a targeted community's experience. The findings confirm that certain classes of architectural vulnerability are only visible from the position of the communities the architecture is designed to protect.</w:t>
      </w:r>
    </w:p>
    <w:p>
      <w:pPr>
        <w:spacing w:before="0" w:after="160"/>
        <w:jc w:val="both"/>
      </w:pPr>
      <w:r>
        <w:rPr>
          <w:rFonts w:ascii="Georgia" w:cs="Georgia" w:eastAsia="Georgia" w:hAnsi="Georgia"/>
          <w:color w:val="1A1A1A"/>
          <w:sz w:val="22"/>
          <w:szCs w:val="22"/>
        </w:rPr>
        <w:t xml:space="preserve">Two new limits are added: the architecture's correctness as its own wall, and the organization prerequisite. Both are named as design truths rather than solvable problems. A framework that pretends otherwise would be less honest than these limits require.</w:t>
      </w:r>
    </w:p>
    <w:p>
      <w:pPr>
        <w:spacing w:before="0" w:after="160"/>
        <w:jc w:val="both"/>
      </w:pPr>
      <w:r>
        <w:rPr>
          <w:rFonts w:ascii="Georgia" w:cs="Georgia" w:eastAsia="Georgia" w:hAnsi="Georgia"/>
          <w:color w:val="1A1A1A"/>
          <w:sz w:val="22"/>
          <w:szCs w:val="22"/>
        </w:rPr>
        <w:t xml:space="preserve">The question the simulation was designed to answer — Will the communities this is designed to protect have the sustained power to win the fights the architecture enables them to start? — was not answered. It was rendered as a condition. That rendering is now in the document's permanent record, which is where it belongs.</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B — PLOL Dual-Output Specification — Revised</w:t>
      </w:r>
    </w:p>
    <w:p>
      <w:pPr>
        <w:pStyle w:val="Heading2"/>
        <w:spacing w:before="300" w:after="120"/>
      </w:pPr>
      <w:r>
        <w:rPr>
          <w:rFonts w:ascii="Arial" w:cs="Arial" w:eastAsia="Arial" w:hAnsi="Arial"/>
          <w:b/>
          <w:bCs/>
          <w:color w:val="2E6DA4"/>
          <w:sz w:val="26"/>
          <w:szCs w:val="26"/>
        </w:rPr>
        <w:t xml:space="preserve">B.1 General Structure — Unchanged</w:t>
      </w:r>
    </w:p>
    <w:p>
      <w:pPr>
        <w:spacing w:before="0" w:after="160"/>
        <w:jc w:val="both"/>
      </w:pPr>
      <w:r>
        <w:rPr>
          <w:rFonts w:ascii="Georgia" w:cs="Georgia" w:eastAsia="Georgia" w:hAnsi="Georgia"/>
          <w:color w:val="1A1A1A"/>
          <w:sz w:val="22"/>
          <w:szCs w:val="22"/>
        </w:rPr>
        <w:t xml:space="preserve">Every rights-affecting AHC classification generates two linked records: a Semantic Contestability Record (public-facing) and a Technical Reproducibility Record (expert-facing), linked by a hash bridge. The non-equivalence rule (B.4) is unchanged: a semantic record may not omit substantive reasons merely because the technical record exists.</w:t>
      </w:r>
    </w:p>
    <w:p>
      <w:pPr>
        <w:pStyle w:val="Heading2"/>
        <w:spacing w:before="300" w:after="120"/>
      </w:pPr>
      <w:r>
        <w:rPr>
          <w:rFonts w:ascii="Arial" w:cs="Arial" w:eastAsia="Arial" w:hAnsi="Arial"/>
          <w:b/>
          <w:bCs/>
          <w:color w:val="2E6DA4"/>
          <w:sz w:val="26"/>
          <w:szCs w:val="26"/>
        </w:rPr>
        <w:t xml:space="preserve">B.2 Semantic Contestability Record — Revised Field List</w:t>
      </w:r>
    </w:p>
    <w:p>
      <w:pPr>
        <w:spacing w:before="0" w:after="160"/>
        <w:jc w:val="both"/>
      </w:pPr>
      <w:r>
        <w:rPr>
          <w:rFonts w:ascii="Georgia" w:cs="Georgia" w:eastAsia="Georgia" w:hAnsi="Georgia"/>
          <w:color w:val="1A1A1A"/>
          <w:sz w:val="22"/>
          <w:szCs w:val="22"/>
        </w:rPr>
        <w:t xml:space="preserve">Version 3 adds three mandatory fields (marked ⊙) to the prior specification:</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760"/>
      </w:tblGrid>
      <w:tr>
        <w:tc>
          <w:tcPr>
            <w:tcW w:type="dxa" w:w="3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4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Required Content</w:t>
            </w:r>
          </w:p>
        </w:tc>
        <w:tc>
          <w:tcPr>
            <w:tcW w:type="dxa" w:w="1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v3 Status</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Classification label and current tier</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What status applies</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Unchanged</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Date and jurisdiction identifier</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When and where</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Unchanged</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Affected cohort and domain</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Who and what domain</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Unchanged</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reason</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What happened in plain terms</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Unchanged</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Practical consequence</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What this means now for the community</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Unchanged</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WHAT THIS SYSTEM CAN AND CANNOT SEE ⊙</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uncertainty statement with estimated capture rate for informal harms</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WHAT THIS CLASSIFICATION DOES NOT DO RIGHT NOW ⊙</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Explicit statement that classification does not stop harms in progress; immediate resource list</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Falsification condition</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What evidence would change the classification</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Unchanged</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HOW TO EXERCISE THIS RIGHT ⊙</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Resource access field: how to obtain expert review; Community Statistical Support Fund access</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Review channels</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Available contestation pathways</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Revised — includes duty channel</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 cause notation (where applicable)</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Whether an acute event in this jurisdiction has been assessed in relation to this classification</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 (conditional)</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Temporary measures if any</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What holds or interim orders are currently active</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Unchanged</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Layer 0B footer (revised standard)</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Category statement + scope limitation + active pathway</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Revised — v3</w:t>
            </w:r>
          </w:p>
        </w:tc>
      </w:tr>
      <w:tr>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Hash reference</w:t>
            </w:r>
          </w:p>
        </w:tc>
        <w:tc>
          <w:tcPr>
            <w:tcW w:type="dxa" w:w="4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Link to Technical Reproducibility Record</w:t>
            </w:r>
          </w:p>
        </w:tc>
        <w:tc>
          <w:tcPr>
            <w:tcW w:type="dxa" w:w="1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Unchanged</w:t>
            </w:r>
          </w:p>
        </w:tc>
      </w:tr>
    </w:tbl>
    <w:p>
      <w:pPr>
        <w:pStyle w:val="Heading2"/>
        <w:spacing w:before="300" w:after="120"/>
      </w:pPr>
      <w:r>
        <w:rPr>
          <w:rFonts w:ascii="Arial" w:cs="Arial" w:eastAsia="Arial" w:hAnsi="Arial"/>
          <w:b/>
          <w:bCs/>
          <w:color w:val="2E6DA4"/>
          <w:sz w:val="26"/>
          <w:szCs w:val="26"/>
        </w:rPr>
        <w:t xml:space="preserve">B.3 Technical Reproducibility Record — Unchanged</w:t>
      </w:r>
    </w:p>
    <w:p>
      <w:pPr>
        <w:spacing w:before="0" w:after="160"/>
        <w:jc w:val="both"/>
      </w:pPr>
      <w:r>
        <w:rPr>
          <w:rFonts w:ascii="Georgia" w:cs="Georgia" w:eastAsia="Georgia" w:hAnsi="Georgia"/>
          <w:color w:val="1A1A1A"/>
          <w:sz w:val="22"/>
          <w:szCs w:val="22"/>
        </w:rPr>
        <w:t xml:space="preserve">Model family and version, parameter state identifier, timestamped commit reference, input provenance ledger, node contribution class summary, declared uncertainty budget (ε values by domain), evidence-tier justification, alert history, and hash link back to semantic record.</w:t>
      </w:r>
    </w:p>
    <w:p>
      <w:pPr>
        <w:pStyle w:val="Heading2"/>
        <w:spacing w:before="300" w:after="120"/>
      </w:pPr>
      <w:r>
        <w:rPr>
          <w:rFonts w:ascii="Arial" w:cs="Arial" w:eastAsia="Arial" w:hAnsi="Arial"/>
          <w:b/>
          <w:bCs/>
          <w:color w:val="2E6DA4"/>
          <w:sz w:val="26"/>
          <w:szCs w:val="26"/>
        </w:rPr>
        <w:t xml:space="preserve">B.4 PLOL Failure Conditions — Revised</w:t>
      </w:r>
    </w:p>
    <w:p>
      <w:pPr>
        <w:spacing w:before="0" w:after="160"/>
        <w:jc w:val="both"/>
      </w:pPr>
      <w:r>
        <w:rPr>
          <w:rFonts w:ascii="Georgia" w:cs="Georgia" w:eastAsia="Georgia" w:hAnsi="Georgia"/>
          <w:color w:val="1A1A1A"/>
          <w:sz w:val="22"/>
          <w:szCs w:val="22"/>
        </w:rPr>
        <w:t xml:space="preserve">PLOL fails constitutional sufficiency if the semantic record: cannot be understood without technical training; omits falsification pathways; materially diverges from the technical record; omits the uncertainty statement; omits the immediate limitation disclosure; omits the resource access field where the falsification condition requires expert resources; or contains a Layer 0B footer that fails the revised three-component standard.</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G — Community Standing Minimal Rights Charter — Revised</w:t>
      </w:r>
    </w:p>
    <w:p>
      <w:pPr>
        <w:spacing w:before="0" w:after="160"/>
        <w:jc w:val="both"/>
      </w:pPr>
      <w:r>
        <w:rPr>
          <w:rFonts w:ascii="Georgia" w:cs="Georgia" w:eastAsia="Georgia" w:hAnsi="Georgia"/>
          <w:color w:val="1A1A1A"/>
          <w:sz w:val="22"/>
          <w:szCs w:val="22"/>
        </w:rPr>
        <w:t xml:space="preserve">The purpose of this charter is not to manufacture trust. It is to guarantee enforceable rights for affected communities regardless of trust levels.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Right</w:t>
            </w:r>
          </w:p>
        </w:tc>
        <w:tc>
          <w:tcPr>
            <w:tcW w:type="dxa" w:w="39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Scope</w:t>
            </w:r>
          </w:p>
        </w:tc>
        <w:tc>
          <w:tcPr>
            <w:tcW w:type="dxa" w:w="2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v3 Addition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intelligible explanation</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Citizen-facing account of what happened and why it matters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PLOL uncertainty statement now mandatory component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know what the system cannot see</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statement of observability limits and miss rates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know what the system does not do right now</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Explicit immediate limitation disclosure with alternative resources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contest methodology</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Ability to challenge how classification was produced</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Community contact open-text field now required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seek independent review</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Access to review channels beyond local administrators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Community Statistical Support Fund covers expert costs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audit local node composition</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Ability to question skewed sensing ecology</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Absence-of-signal audit flag now documented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contest cohort mapping</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Ability to challenge empirical-to-legal translation</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Overflow doctrine now formal mechanism</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petition for pause</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Ability to suspend deployment under declared grounds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Cognizability standard now specified; scope is jurisdiction-specific</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representation in ratification</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Standing in governance changes affecting the community</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Affected-party franchise now specified for ratification votes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public accounting of outcomes</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Visibility into disposition of review and pause petitions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Maximum response timelines now specified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Right to duty contact</w:t>
            </w:r>
          </w:p>
        </w:tc>
        <w:tc>
          <w:tcPr>
            <w:tcW w:type="dxa" w:w="3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Access to Classification Integrity Officer duty channel for time-sensitive concerns</w:t>
            </w:r>
          </w:p>
        </w:tc>
        <w:tc>
          <w:tcPr>
            <w:tcW w:type="dxa" w:w="2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New — v3</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H — Open Problems Register — Revised</w:t>
      </w:r>
    </w:p>
    <w:p>
      <w:pPr>
        <w:pStyle w:val="Heading2"/>
        <w:spacing w:before="300" w:after="120"/>
      </w:pPr>
      <w:r>
        <w:rPr>
          <w:rFonts w:ascii="Arial" w:cs="Arial" w:eastAsia="Arial" w:hAnsi="Arial"/>
          <w:b/>
          <w:bCs/>
          <w:color w:val="2E6DA4"/>
          <w:sz w:val="26"/>
          <w:szCs w:val="26"/>
        </w:rPr>
        <w:t xml:space="preserve">H.1 Constitutional Interface Problems — Unchanged</w:t>
      </w:r>
    </w:p>
    <w:p>
      <w:pPr>
        <w:spacing w:before="0" w:after="160"/>
        <w:jc w:val="both"/>
      </w:pPr>
      <w:r>
        <w:rPr>
          <w:rFonts w:ascii="Georgia" w:cs="Georgia" w:eastAsia="Georgia" w:hAnsi="Georgia"/>
          <w:color w:val="1A1A1A"/>
          <w:sz w:val="22"/>
          <w:szCs w:val="22"/>
        </w:rPr>
        <w:t xml:space="preserve">Minimum semantic burden for genuine contestability; auditing bounded opacity without undermining anti-evasion.</w:t>
      </w:r>
    </w:p>
    <w:p>
      <w:pPr>
        <w:pStyle w:val="Heading2"/>
        <w:spacing w:before="300" w:after="120"/>
      </w:pPr>
      <w:r>
        <w:rPr>
          <w:rFonts w:ascii="Arial" w:cs="Arial" w:eastAsia="Arial" w:hAnsi="Arial"/>
          <w:b/>
          <w:bCs/>
          <w:color w:val="2E6DA4"/>
          <w:sz w:val="26"/>
          <w:szCs w:val="26"/>
        </w:rPr>
        <w:t xml:space="preserve">H.2 Sensing Problems — Unchanged</w:t>
      </w:r>
    </w:p>
    <w:p>
      <w:pPr>
        <w:spacing w:before="0" w:after="160"/>
        <w:jc w:val="both"/>
      </w:pPr>
      <w:r>
        <w:rPr>
          <w:rFonts w:ascii="Georgia" w:cs="Georgia" w:eastAsia="Georgia" w:hAnsi="Georgia"/>
          <w:color w:val="1A1A1A"/>
          <w:sz w:val="22"/>
          <w:szCs w:val="22"/>
        </w:rPr>
        <w:t xml:space="preserve">Cross-domain joint inference without central microdata pooling; subgraph membership validation without central identity exposure; privacy budgets that preserve sensitivity.</w:t>
      </w:r>
    </w:p>
    <w:p>
      <w:pPr>
        <w:pStyle w:val="Heading2"/>
        <w:spacing w:before="300" w:after="120"/>
      </w:pPr>
      <w:r>
        <w:rPr>
          <w:rFonts w:ascii="Arial" w:cs="Arial" w:eastAsia="Arial" w:hAnsi="Arial"/>
          <w:b/>
          <w:bCs/>
          <w:color w:val="2E6DA4"/>
          <w:sz w:val="26"/>
          <w:szCs w:val="26"/>
        </w:rPr>
        <w:t xml:space="preserve">H.3 Governance Problems — Unchanged</w:t>
      </w:r>
    </w:p>
    <w:p>
      <w:pPr>
        <w:spacing w:before="0" w:after="160"/>
        <w:jc w:val="both"/>
      </w:pPr>
      <w:r>
        <w:rPr>
          <w:rFonts w:ascii="Georgia" w:cs="Georgia" w:eastAsia="Georgia" w:hAnsi="Georgia"/>
          <w:color w:val="1A1A1A"/>
          <w:sz w:val="22"/>
          <w:szCs w:val="22"/>
        </w:rPr>
        <w:t xml:space="preserve">Franchise verification without reproducing coercion or exclusion; community representation under degraded franchise conditions; recalibration without weakening non-regression.</w:t>
      </w:r>
    </w:p>
    <w:p>
      <w:pPr>
        <w:pStyle w:val="Heading2"/>
        <w:spacing w:before="300" w:after="120"/>
      </w:pPr>
      <w:r>
        <w:rPr>
          <w:rFonts w:ascii="Arial" w:cs="Arial" w:eastAsia="Arial" w:hAnsi="Arial"/>
          <w:b/>
          <w:bCs/>
          <w:color w:val="2E6DA4"/>
          <w:sz w:val="26"/>
          <w:szCs w:val="26"/>
        </w:rPr>
        <w:t xml:space="preserve">H.4 Institutional Birth Problems — Unchanged</w:t>
      </w:r>
    </w:p>
    <w:p>
      <w:pPr>
        <w:spacing w:before="0" w:after="160"/>
        <w:jc w:val="both"/>
      </w:pPr>
      <w:r>
        <w:rPr>
          <w:rFonts w:ascii="Georgia" w:cs="Georgia" w:eastAsia="Georgia" w:hAnsi="Georgia"/>
          <w:color w:val="1A1A1A"/>
          <w:sz w:val="22"/>
          <w:szCs w:val="22"/>
        </w:rPr>
        <w:t xml:space="preserve">Who validates AHC before AHC has institutional legitimacy; what bodies can serve as credible validators in Phase 1; how federated complementarity can avoid advisory impotence.</w:t>
      </w:r>
    </w:p>
    <w:p>
      <w:pPr>
        <w:pStyle w:val="Heading2"/>
        <w:spacing w:before="300" w:after="120"/>
      </w:pPr>
      <w:r>
        <w:rPr>
          <w:rFonts w:ascii="Arial" w:cs="Arial" w:eastAsia="Arial" w:hAnsi="Arial"/>
          <w:b/>
          <w:bCs/>
          <w:color w:val="2E6DA4"/>
          <w:sz w:val="26"/>
          <w:szCs w:val="26"/>
        </w:rPr>
        <w:t xml:space="preserve">H.5 Political Problems — Unchanged</w:t>
      </w:r>
    </w:p>
    <w:p>
      <w:pPr>
        <w:spacing w:before="0" w:after="160"/>
        <w:jc w:val="both"/>
      </w:pPr>
      <w:r>
        <w:rPr>
          <w:rFonts w:ascii="Georgia" w:cs="Georgia" w:eastAsia="Georgia" w:hAnsi="Georgia"/>
          <w:color w:val="1A1A1A"/>
          <w:sz w:val="22"/>
          <w:szCs w:val="22"/>
        </w:rPr>
        <w:t xml:space="preserve">How AHC remains contestable to communities that rightly distrust expert systems; how community standing avoids becoming merely symbolic.</w:t>
      </w:r>
    </w:p>
    <w:p>
      <w:pPr>
        <w:pStyle w:val="Heading2"/>
        <w:spacing w:before="300" w:after="120"/>
      </w:pPr>
      <w:r>
        <w:rPr>
          <w:rFonts w:ascii="Arial" w:cs="Arial" w:eastAsia="Arial" w:hAnsi="Arial"/>
          <w:b/>
          <w:bCs/>
          <w:color w:val="2E6DA4"/>
          <w:sz w:val="26"/>
          <w:szCs w:val="26"/>
        </w:rPr>
        <w:t xml:space="preserve">H.6 Simulation-Derived Open Problems ⊙</w:t>
      </w:r>
    </w:p>
    <w:p>
      <w:pPr>
        <w:spacing w:before="0" w:after="160"/>
        <w:jc w:val="both"/>
      </w:pPr>
      <w:r>
        <w:rPr>
          <w:rFonts w:ascii="Georgia" w:cs="Georgia" w:eastAsia="Georgia" w:hAnsi="Georgia"/>
          <w:b/>
          <w:bCs/>
          <w:color w:val="1A1A1A"/>
          <w:sz w:val="22"/>
          <w:szCs w:val="22"/>
        </w:rPr>
        <w:t xml:space="preserve">OP H.6.1 — The Organization Prerequisite: </w:t>
      </w:r>
      <w:r>
        <w:rPr>
          <w:rFonts w:ascii="Georgia" w:cs="Georgia" w:eastAsia="Georgia" w:hAnsi="Georgia"/>
          <w:color w:val="1A1A1A"/>
          <w:sz w:val="22"/>
          <w:szCs w:val="22"/>
        </w:rPr>
        <w:t xml:space="preserve">The Community Standing architecture, pause petition mechanism, and PLOL navigation all presuppose a community with organizational infrastructure. A future simulation should test the architecture's behavior in a jurisdiction experiencing the same compound event weaponization pattern without a Marisol — without an organized community, a law student ally, or sufficient institutional literacy. The findings of that simulation should be treated as specification requirements, not edge cases.</w:t>
      </w:r>
    </w:p>
    <w:p>
      <w:pPr>
        <w:spacing w:before="0" w:after="160"/>
        <w:jc w:val="both"/>
      </w:pPr>
      <w:r>
        <w:rPr>
          <w:rFonts w:ascii="Georgia" w:cs="Georgia" w:eastAsia="Georgia" w:hAnsi="Georgia"/>
          <w:b/>
          <w:bCs/>
          <w:color w:val="1A1A1A"/>
          <w:sz w:val="22"/>
          <w:szCs w:val="22"/>
        </w:rPr>
        <w:t xml:space="preserve">OP H.6.2 — Post-Displacement State Vector Registration: </w:t>
      </w:r>
      <w:r>
        <w:rPr>
          <w:rFonts w:ascii="Georgia" w:cs="Georgia" w:eastAsia="Georgia" w:hAnsi="Georgia"/>
          <w:color w:val="1A1A1A"/>
          <w:sz w:val="22"/>
          <w:szCs w:val="22"/>
        </w:rPr>
        <w:t xml:space="preserve">The simulation ended with Marisol crossing the hydrangea house off the list — 'a permanent, irreversible change to the state vector of the block. The system will register it. The review has 47 days left.' When the architecture registers a displacement as a state vector change, what does that registration do? Does it update the classification? Does it affect the review? Does it generate a new notification to the community? The simulation revealed that the answer to these questions is unspecified. The architecture must specify what happens to a review in progress when the harm it was reviewing completes within the review window.</w:t>
      </w:r>
    </w:p>
    <w:p>
      <w:pPr>
        <w:spacing w:before="0" w:after="160"/>
        <w:jc w:val="both"/>
      </w:pPr>
      <w:r>
        <w:rPr>
          <w:rFonts w:ascii="Georgia" w:cs="Georgia" w:eastAsia="Georgia" w:hAnsi="Georgia"/>
          <w:b/>
          <w:bCs/>
          <w:color w:val="1A1A1A"/>
          <w:sz w:val="22"/>
          <w:szCs w:val="22"/>
        </w:rPr>
        <w:t xml:space="preserve">OP H.6.3 — Simulation as Permanent Validation Method: </w:t>
      </w:r>
      <w:r>
        <w:rPr>
          <w:rFonts w:ascii="Georgia" w:cs="Georgia" w:eastAsia="Georgia" w:hAnsi="Georgia"/>
          <w:color w:val="1A1A1A"/>
          <w:sz w:val="22"/>
          <w:szCs w:val="22"/>
        </w:rPr>
        <w:t xml:space="preserve">The fictionality methodology should be formalized as a permanent AHC validation component. Before any major specification change affecting community-facing interfaces, a simulation calibrated to the new specification is required as part of the pre-release review process. The minimum specification for such a simulation: 28K token context window; full PLOL field injection; character with 15+ years community organizing experience; at least one compound harm scenario; at least one resource access attempt; rendered without melodramatic resolution. Findings are treated as potential specification requirements pending analytical review.</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X — Shared Definitions and Notation</w:t>
      </w:r>
    </w:p>
    <w:p>
      <w:pPr>
        <w:spacing w:before="0" w:after="160"/>
        <w:jc w:val="both"/>
      </w:pPr>
      <w:r>
        <w:rPr>
          <w:rFonts w:ascii="Georgia" w:cs="Georgia" w:eastAsia="Georgia" w:hAnsi="Georgia"/>
          <w:color w:val="1A1A1A"/>
          <w:sz w:val="22"/>
          <w:szCs w:val="22"/>
        </w:rPr>
        <w:t xml:space="preserve">All definitions from Companion A v2 Appendix X are retained and superseded where this version conflicts. Version 3 adds the following terms to the canonical vocabulary:</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652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Term</w:t>
            </w:r>
          </w:p>
        </w:tc>
        <w:tc>
          <w:tcPr>
            <w:tcW w:type="dxa" w:w="65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Canonical Core Meaning</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 event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Acute event occurring in a jurisdiction with active slow-decay classification in an overlapping domain</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 event flag</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Procedural marker triggering independence test before acute event is processed as isolated</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 Protective Hold</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72-hour hold on displacement associated with a flagged acute event pending compound review</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Community Statistical Support Fund</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Mandatory Tier 1 capital routing allocation covering expert review costs for communities exercising methodology contestation rights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Organization prerequisite</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The gap between formally available community rights and their practical accessibility in communities without organizational infrastructure — a registered design limit</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Uncertainty statement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mandatory PLOL field stating estimated capture rate for informal harms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Immediate limitation disclosure</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mandatory PLOL field stating what the classification does not do right now and providing immediate alternative resources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Resource access field</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Plain-language mandatory PLOL field specifying how to obtain expert assistance to exercise contestation rights</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Fictionality method</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Phenomenological simulation as an epistemic instrument for revealing architectural vulnerabilities not accessible to analytical critique</w:t>
            </w:r>
          </w:p>
        </w:tc>
      </w:tr>
      <w:tr>
        <w:tc>
          <w:tcPr>
            <w:tcW w:type="dxa" w:w="2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Absence-of-signal audit</w:t>
            </w:r>
          </w:p>
        </w:tc>
        <w:tc>
          <w:tcPr>
            <w:tcW w:type="dxa" w:w="65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Audit triggered by a sentinel node producing no primary signals in a jurisdiction with active leading indicator deterioration</w:t>
            </w:r>
          </w:p>
        </w:tc>
      </w:tr>
    </w:tbl>
    <w:p>
      <w:pPr>
        <w:spacing w:before="0" w:after="80"/>
      </w:pPr>
      <w:r>
        <w:t xml:space="preserve"/>
      </w:r>
    </w:p>
    <w:p>
      <w:pPr>
        <w:pBdr>
          <w:bottom w:val="single" w:color="A8C4D8" w:sz="4" w:space="1"/>
        </w:pBdr>
        <w:spacing w:before="120" w:after="120"/>
      </w:pPr>
    </w:p>
    <w:p>
      <w:pPr>
        <w:spacing w:before="0" w:after="80"/>
      </w:pPr>
      <w:r>
        <w:t xml:space="preserve"/>
      </w:r>
    </w:p>
    <w:p>
      <w:pPr>
        <w:jc w:val="center"/>
      </w:pPr>
      <w:r>
        <w:rPr>
          <w:rFonts w:ascii="Arial" w:cs="Arial" w:eastAsia="Arial" w:hAnsi="Arial"/>
          <w:b w:val="false"/>
          <w:bCs w:val="false"/>
          <w:color w:val="555555"/>
          <w:sz w:val="18"/>
          <w:szCs w:val="18"/>
        </w:rPr>
        <w:t xml:space="preserve">Companion A v3 issued concurrently with AHC Master Architecture Amendment v3.1. Both documents should be read together. Not for citation without permission.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8" w:sz="4" w:space="4"/>
      </w:pBdr>
      <w:jc w:val="right"/>
    </w:pPr>
    <w:r>
      <w:rPr>
        <w:rFonts w:ascii="Arial" w:cs="Arial" w:eastAsia="Arial" w:hAnsi="Arial"/>
        <w:b w:val="false"/>
        <w:bCs w:val="false"/>
        <w:color w:val="555555"/>
        <w:sz w:val="18"/>
        <w:szCs w:val="18"/>
      </w:rPr>
      <w:t xml:space="preserve">Revised incorporating simulation findings    </w:t>
    </w:r>
    <w:r>
      <w:rPr>
        <w:rFonts w:ascii="Arial" w:cs="Arial" w:eastAsia="Arial" w:hAnsi="Arial"/>
        <w:color w:val="2E6D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D8" w:sz="4" w:space="4"/>
      </w:pBdr>
    </w:pPr>
    <w:r>
      <w:rPr>
        <w:rFonts w:ascii="Arial" w:cs="Arial" w:eastAsia="Arial" w:hAnsi="Arial"/>
        <w:b/>
        <w:bCs/>
        <w:color w:val="2E6DA4"/>
        <w:sz w:val="18"/>
        <w:szCs w:val="18"/>
      </w:rPr>
      <w:t xml:space="preserve">COMPANION A [AHC-L0]  —  VERSION 3  |  Constitutional Interface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2026-03-20T17:17:56.436Z</dcterms:created>
  <dcterms:modified xsi:type="dcterms:W3CDTF">2026-03-20T17:17:56.437Z</dcterms:modified>
</cp:coreProperties>
</file>

<file path=docProps/custom.xml><?xml version="1.0" encoding="utf-8"?>
<Properties xmlns="http://schemas.openxmlformats.org/officeDocument/2006/custom-properties" xmlns:vt="http://schemas.openxmlformats.org/officeDocument/2006/docPropsVTypes"/>
</file>