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rFonts w:ascii="Georgia" w:cs="Georgia" w:eastAsia="Georgia" w:hAnsi="Georgia"/>
          <w:b/>
          <w:bCs/>
          <w:color w:val="1F3864"/>
          <w:sz w:val="44"/>
          <w:szCs w:val="44"/>
        </w:rPr>
        <w:t xml:space="preserve">The Verified Constitutional Kernel</w:t>
      </w:r>
    </w:p>
    <w:p>
      <w:pPr>
        <w:spacing w:after="120" w:line="276"/>
        <w:jc w:val="center"/>
      </w:pPr>
      <w:r>
        <w:rPr>
          <w:rFonts w:ascii="Georgia" w:cs="Georgia" w:eastAsia="Georgia" w:hAnsi="Georgia"/>
          <w:i/>
          <w:iCs/>
          <w:sz w:val="26"/>
          <w:szCs w:val="26"/>
        </w:rPr>
        <w:t xml:space="preserve">Machine-Checked Invariants of Axiomatic Humanist Cybernetics v3.1</w:t>
      </w:r>
    </w:p>
    <w:p>
      <w:pPr>
        <w:spacing w:after="480" w:line="276"/>
        <w:jc w:val="center"/>
      </w:pPr>
      <w:r>
        <w:rPr>
          <w:rFonts w:ascii="Georgia" w:cs="Georgia" w:eastAsia="Georgia" w:hAnsi="Georgia"/>
          <w:sz w:val="22"/>
          <w:szCs w:val="22"/>
        </w:rPr>
        <w:t xml:space="preserve">Plain Language Summary  ·  Formal Appendix  ·  Phase 1 Reviewer Brief</w:t>
      </w:r>
    </w:p>
    <w:p>
      <w:pPr>
        <w:spacing w:after="60" w:line="276"/>
        <w:jc w:val="center"/>
      </w:pPr>
      <w:r>
        <w:rPr>
          <w:rFonts w:ascii="Georgia" w:cs="Georgia" w:eastAsia="Georgia" w:hAnsi="Georgia"/>
          <w:color w:val="555555"/>
          <w:sz w:val="20"/>
          <w:szCs w:val="20"/>
        </w:rPr>
        <w:t xml:space="preserve">Version 0.1 — July 11, 2026</w:t>
      </w:r>
    </w:p>
    <w:p>
      <w:pPr>
        <w:spacing w:after="240" w:line="276"/>
        <w:jc w:val="center"/>
      </w:pPr>
      <w:r>
        <w:rPr>
          <w:rFonts w:ascii="Georgia" w:cs="Georgia" w:eastAsia="Georgia" w:hAnsi="Georgia"/>
          <w:color w:val="555555"/>
          <w:sz w:val="20"/>
          <w:szCs w:val="20"/>
        </w:rPr>
        <w:t xml:space="preserve">Companion artifact to AHC v3.1 and Companion A (integrated). 34 theorems · 4 modules · Lean 4.15.0, core only · zero unproven claims</w:t>
      </w:r>
    </w:p>
    <w:p>
      <w:pPr>
        <w:spacing w:after="160" w:line="276"/>
        <w:jc w:val="center"/>
      </w:pPr>
      <w:r>
        <w:rPr>
          <w:rFonts w:ascii="Georgia" w:cs="Georgia" w:eastAsia="Georgia" w:hAnsi="Georgia"/>
          <w:i/>
          <w:iCs/>
          <w:color w:val="555555"/>
          <w:sz w:val="20"/>
          <w:szCs w:val="20"/>
        </w:rPr>
        <w:t xml:space="preserve">Circulated under Principle 19.2 (Complexity Ceiling): this artifact adds no new specification. It verifies specification that already exists, and identifies precisely where verification ends.</w:t>
      </w:r>
    </w:p>
    <w:p>
      <w:r>
        <w:br w:type="page"/>
      </w:r>
    </w:p>
    <w:p>
      <w:pPr>
        <w:pStyle w:val="Heading1"/>
        <w:spacing w:after="200" w:before="360"/>
      </w:pPr>
      <w:r>
        <w:rPr>
          <w:rFonts w:ascii="Georgia" w:cs="Georgia" w:eastAsia="Georgia" w:hAnsi="Georgia"/>
          <w:b/>
          <w:bCs/>
          <w:color w:val="1F3864"/>
          <w:sz w:val="30"/>
          <w:szCs w:val="30"/>
        </w:rPr>
        <w:t xml:space="preserve">Part I — Plain Language Summary</w:t>
      </w:r>
    </w:p>
    <w:p>
      <w:pPr>
        <w:spacing w:after="160" w:line="276"/>
      </w:pPr>
      <w:r>
        <w:rPr>
          <w:rFonts w:ascii="Georgia" w:cs="Georgia" w:eastAsia="Georgia" w:hAnsi="Georgia"/>
          <w:i/>
          <w:iCs/>
          <w:sz w:val="21"/>
          <w:szCs w:val="21"/>
        </w:rPr>
        <w:t xml:space="preserve">This summary follows the framework's own Plain Language Output Layer requirement (AHC §10.4; Companion A Appendix B), applied to this artifact. A constitutional architecture that requires plain-language accountability of every output owes the same of its own proofs.</w:t>
      </w:r>
    </w:p>
    <w:p>
      <w:pPr>
        <w:pStyle w:val="Heading2"/>
        <w:spacing w:after="160" w:before="280"/>
      </w:pPr>
      <w:r>
        <w:rPr>
          <w:rFonts w:ascii="Georgia" w:cs="Georgia" w:eastAsia="Georgia" w:hAnsi="Georgia"/>
          <w:b/>
          <w:bCs/>
          <w:color w:val="2E5395"/>
          <w:sz w:val="24"/>
          <w:szCs w:val="24"/>
        </w:rPr>
        <w:t xml:space="preserve">What this is, and what was done</w:t>
      </w:r>
    </w:p>
    <w:p>
      <w:pPr>
        <w:spacing w:after="160" w:line="276"/>
      </w:pPr>
      <w:r>
        <w:rPr>
          <w:rFonts w:ascii="Georgia" w:cs="Georgia" w:eastAsia="Georgia" w:hAnsi="Georgia"/>
          <w:sz w:val="21"/>
          <w:szCs w:val="21"/>
        </w:rPr>
        <w:t xml:space="preserve">The AHC constitution contains rules written in careful English: rules about when the system may act and how hard, about how long an emergency may last, about how measurements are combined, and about what the public record of a decision must contain. We translated four families of those rules into a language a computer can check with complete rigor — a proof assistant called Lean — and then proved 34 statements about them. A proof assistant does not test a rule on examples; it verifies that no counterexample can exist, anywhere, ever, within the rules as written.</w:t>
      </w:r>
    </w:p>
    <w:p>
      <w:pPr>
        <w:spacing w:after="160" w:line="276"/>
      </w:pPr>
      <w:r>
        <w:rPr>
          <w:rFonts w:ascii="Georgia" w:cs="Georgia" w:eastAsia="Georgia" w:hAnsi="Georgia"/>
          <w:sz w:val="21"/>
          <w:szCs w:val="21"/>
        </w:rPr>
        <w:t xml:space="preserve">In plain terms, the 34 statements say:</w:t>
      </w:r>
    </w:p>
    <w:p>
      <w:pPr>
        <w:pStyle w:val="ListParagraph"/>
        <w:numPr>
          <w:ilvl w:val="0"/>
          <w:numId w:val="2"/>
        </w:numPr>
        <w:spacing w:after="160" w:line="276"/>
      </w:pPr>
      <w:r>
        <w:rPr>
          <w:rFonts w:ascii="Georgia" w:cs="Georgia" w:eastAsia="Georgia" w:hAnsi="Georgia"/>
          <w:sz w:val="21"/>
          <w:szCs w:val="21"/>
        </w:rPr>
        <w:t xml:space="preserve">The system can never act more forcefully than its evidence permits, and everything it does on less-than-conclusive evidence can be undone.</w:t>
      </w:r>
    </w:p>
    <w:p>
      <w:pPr>
        <w:pStyle w:val="ListParagraph"/>
        <w:numPr>
          <w:ilvl w:val="0"/>
          <w:numId w:val="2"/>
        </w:numPr>
        <w:spacing w:after="160" w:line="276"/>
      </w:pPr>
      <w:r>
        <w:rPr>
          <w:rFonts w:ascii="Georgia" w:cs="Georgia" w:eastAsia="Georgia" w:hAnsi="Georgia"/>
          <w:sz w:val="21"/>
          <w:szCs w:val="21"/>
        </w:rPr>
        <w:t xml:space="preserve">An emergency measure that is not confirmed within 72 hours reverses itself automatically. Emergencies cannot exceed 180 days in any two-year period, a run of emergency days can never exceed 180 in a row, and once the cap trips, only a full constitutional review — not time, not repetition — can restore emergency powers.</w:t>
      </w:r>
    </w:p>
    <w:p>
      <w:pPr>
        <w:pStyle w:val="ListParagraph"/>
        <w:numPr>
          <w:ilvl w:val="0"/>
          <w:numId w:val="2"/>
        </w:numPr>
        <w:spacing w:after="160" w:line="276"/>
      </w:pPr>
      <w:r>
        <w:rPr>
          <w:rFonts w:ascii="Georgia" w:cs="Georgia" w:eastAsia="Georgia" w:hAnsi="Georgia"/>
          <w:sz w:val="21"/>
          <w:szCs w:val="21"/>
        </w:rPr>
        <w:t xml:space="preserve">If a minority of the system's sensors are corrupted or captured, they cannot drag its thresholds outside the range of honest measurements, and they can never fabricate a certified reading on their own.</w:t>
      </w:r>
    </w:p>
    <w:p>
      <w:pPr>
        <w:pStyle w:val="ListParagraph"/>
        <w:numPr>
          <w:ilvl w:val="0"/>
          <w:numId w:val="2"/>
        </w:numPr>
        <w:spacing w:after="160" w:line="276"/>
      </w:pPr>
      <w:r>
        <w:rPr>
          <w:rFonts w:ascii="Georgia" w:cs="Georgia" w:eastAsia="Georgia" w:hAnsi="Georgia"/>
          <w:sz w:val="21"/>
          <w:szCs w:val="21"/>
        </w:rPr>
        <w:t xml:space="preserve">If any one community's viability collapses, the system's global health signal reads zero — no amount of prosperity elsewhere can mask it. We also proved that if the signal had been designed as a sum instead of a product, masking would be possible; the design choice is what prevents it.</w:t>
      </w:r>
    </w:p>
    <w:p>
      <w:pPr>
        <w:pStyle w:val="ListParagraph"/>
        <w:numPr>
          <w:ilvl w:val="0"/>
          <w:numId w:val="2"/>
        </w:numPr>
        <w:spacing w:after="160" w:line="276"/>
      </w:pPr>
      <w:r>
        <w:rPr>
          <w:rFonts w:ascii="Georgia" w:cs="Georgia" w:eastAsia="Georgia" w:hAnsi="Georgia"/>
          <w:sz w:val="21"/>
          <w:szCs w:val="21"/>
        </w:rPr>
        <w:t xml:space="preserve">The plain-language record and the technical record of any decision cannot disagree about anything that matters for challenging that decision while both comply with the rules — and if they do disagree, the disagreement itself is proof of which record broke the rules. The information needed to challenge a decision is public at the moment the decision is made, never held back for the expert record.</w:t>
      </w:r>
    </w:p>
    <w:p>
      <w:pPr>
        <w:pStyle w:val="Heading2"/>
        <w:spacing w:after="160" w:before="280"/>
      </w:pPr>
      <w:r>
        <w:rPr>
          <w:rFonts w:ascii="Georgia" w:cs="Georgia" w:eastAsia="Georgia" w:hAnsi="Georgia"/>
          <w:b/>
          <w:bCs/>
          <w:color w:val="2E5395"/>
          <w:sz w:val="24"/>
          <w:szCs w:val="24"/>
        </w:rPr>
        <w:t xml:space="preserve">What this system of proofs can and cannot see</w:t>
      </w:r>
    </w:p>
    <w:p>
      <w:pPr>
        <w:spacing w:after="160" w:line="276"/>
      </w:pPr>
      <w:r>
        <w:rPr>
          <w:rFonts w:ascii="Georgia" w:cs="Georgia" w:eastAsia="Georgia" w:hAnsi="Georgia"/>
          <w:sz w:val="21"/>
          <w:szCs w:val="21"/>
        </w:rPr>
        <w:t xml:space="preserve">The proofs verify the rules as written — not the world the rules act on. They cannot see whether the sensors feeding the system are in fact independent, whether measurements track real harm, whether institutions perform their roles, or whether a plain-language document genuinely means what its formal record claims. That last gap is deliberate and is named in the artifact as “the seam”: machines check everything that does not require human judgment, so that human judgment — exercised by affected communities through Layer 0 — is spent only where nothing can replace it.</w:t>
      </w:r>
    </w:p>
    <w:p>
      <w:pPr>
        <w:pStyle w:val="Heading2"/>
        <w:spacing w:after="160" w:before="280"/>
      </w:pPr>
      <w:r>
        <w:rPr>
          <w:rFonts w:ascii="Georgia" w:cs="Georgia" w:eastAsia="Georgia" w:hAnsi="Georgia"/>
          <w:b/>
          <w:bCs/>
          <w:color w:val="2E5395"/>
          <w:sz w:val="24"/>
          <w:szCs w:val="24"/>
        </w:rPr>
        <w:t xml:space="preserve">What this artifact does not do right now</w:t>
      </w:r>
    </w:p>
    <w:p>
      <w:pPr>
        <w:spacing w:after="160" w:line="276"/>
      </w:pPr>
      <w:r>
        <w:rPr>
          <w:rFonts w:ascii="Georgia" w:cs="Georgia" w:eastAsia="Georgia" w:hAnsi="Georgia"/>
          <w:sz w:val="21"/>
          <w:szCs w:val="21"/>
        </w:rPr>
        <w:t xml:space="preserve">It does not make the AHC system exist, does not validate its statistical methods, and does not certify any deployment. It certifies that the constitutional text, in the parts formalized, cannot be lawyered into its opposite: the rules genuinely mean what they say.</w:t>
      </w:r>
    </w:p>
    <w:p>
      <w:pPr>
        <w:pStyle w:val="Heading2"/>
        <w:spacing w:after="160" w:before="280"/>
      </w:pPr>
      <w:r>
        <w:rPr>
          <w:rFonts w:ascii="Georgia" w:cs="Georgia" w:eastAsia="Georgia" w:hAnsi="Georgia"/>
          <w:b/>
          <w:bCs/>
          <w:color w:val="2E5395"/>
          <w:sz w:val="24"/>
          <w:szCs w:val="24"/>
        </w:rPr>
        <w:t xml:space="preserve">What would prove this wrong, and how to challenge it</w:t>
      </w:r>
    </w:p>
    <w:p>
      <w:pPr>
        <w:spacing w:after="160" w:line="276"/>
      </w:pPr>
      <w:r>
        <w:rPr>
          <w:rFonts w:ascii="Georgia" w:cs="Georgia" w:eastAsia="Georgia" w:hAnsi="Georgia"/>
          <w:sz w:val="21"/>
          <w:szCs w:val="21"/>
        </w:rPr>
        <w:t xml:space="preserve">Every claim above is checkable by anyone, without trusting us. The complete source is included; one command (“lake build”) re-verifies every proof from scratch in seconds on an ordinary computer. If any proof were broken or missing, the build would fail and say so. The honest points of challenge are not the proofs but the modeling choices — the places where English was turned into mathematics. Each module lists its own choices on its first page; Part III of this document asks reviewers to attack exactly those. If you believe a formal rule here does not mean what the constitution's English means, that is a finding, and Part III, Question F-1 is its address.</w:t>
      </w:r>
    </w:p>
    <w:p>
      <w:pPr>
        <w:pStyle w:val="Heading2"/>
        <w:spacing w:after="160" w:before="280"/>
      </w:pPr>
      <w:r>
        <w:rPr>
          <w:rFonts w:ascii="Georgia" w:cs="Georgia" w:eastAsia="Georgia" w:hAnsi="Georgia"/>
          <w:b/>
          <w:bCs/>
          <w:color w:val="2E5395"/>
          <w:sz w:val="24"/>
          <w:szCs w:val="24"/>
        </w:rPr>
        <w:t xml:space="preserve">Where the full technical record is</w:t>
      </w:r>
    </w:p>
    <w:p>
      <w:pPr>
        <w:spacing w:after="160" w:line="276"/>
      </w:pPr>
      <w:r>
        <w:rPr>
          <w:rFonts w:ascii="Georgia" w:cs="Georgia" w:eastAsia="Georgia" w:hAnsi="Georgia"/>
          <w:sz w:val="21"/>
          <w:szCs w:val="21"/>
        </w:rPr>
        <w:t xml:space="preserve">The complete machine-checked source accompanies this document (ahc-verified-kernel.zip), with build instructions in its README. This summary is a navigation entry point, not a substitute for that record.</w:t>
      </w:r>
    </w:p>
    <w:p>
      <w:r>
        <w:br w:type="page"/>
      </w:r>
    </w:p>
    <w:p>
      <w:pPr>
        <w:pStyle w:val="Heading1"/>
        <w:spacing w:after="200" w:before="360"/>
      </w:pPr>
      <w:r>
        <w:rPr>
          <w:rFonts w:ascii="Georgia" w:cs="Georgia" w:eastAsia="Georgia" w:hAnsi="Georgia"/>
          <w:b/>
          <w:bCs/>
          <w:color w:val="1F3864"/>
          <w:sz w:val="30"/>
          <w:szCs w:val="30"/>
        </w:rPr>
        <w:t xml:space="preserve">Part II — Formal Appendix</w:t>
      </w:r>
    </w:p>
    <w:p>
      <w:pPr>
        <w:pStyle w:val="Heading2"/>
        <w:spacing w:after="160" w:before="280"/>
      </w:pPr>
      <w:r>
        <w:rPr>
          <w:rFonts w:ascii="Georgia" w:cs="Georgia" w:eastAsia="Georgia" w:hAnsi="Georgia"/>
          <w:b/>
          <w:bCs/>
          <w:color w:val="2E5395"/>
          <w:sz w:val="24"/>
          <w:szCs w:val="24"/>
        </w:rPr>
        <w:t xml:space="preserve">A. Scope and claim</w:t>
      </w:r>
    </w:p>
    <w:p>
      <w:pPr>
        <w:spacing w:after="160" w:line="276"/>
      </w:pPr>
      <w:r>
        <w:rPr>
          <w:rFonts w:ascii="Georgia" w:cs="Georgia" w:eastAsia="Georgia" w:hAnsi="Georgia"/>
          <w:sz w:val="21"/>
          <w:szCs w:val="21"/>
        </w:rPr>
        <w:t xml:space="preserve">The kernel formalizes the order-theoretic and counting-theoretic core of AHC v3.1: enforcement gating (§5.4, §9.2–9.3), emergency time (Companion A §12.3, AHC §10.3), measurement and aggregation (§8.3, §4.1–4.2), and output-register invariance (§10.4; Companion A §5, §19.4, Appendix B). The claim is exact and limited: the specification, as modeled, provably possesses the 34 properties below. The proofs verify the specification, not the world. Toolchain: Lean 4.15.0, core library only — no Mathlib, no external dependencies. Zero “sorry” placeholders. No theorem uses classical choice; the total axiom footprint is propext and Quot.sound, and 22 of 34 theorems depend on no axioms at all.</w:t>
      </w:r>
    </w:p>
    <w:p>
      <w:pPr>
        <w:pStyle w:val="Heading2"/>
        <w:spacing w:after="160" w:before="280"/>
      </w:pPr>
      <w:r>
        <w:rPr>
          <w:rFonts w:ascii="Georgia" w:cs="Georgia" w:eastAsia="Georgia" w:hAnsi="Georgia"/>
          <w:b/>
          <w:bCs/>
          <w:color w:val="2E5395"/>
          <w:sz w:val="24"/>
          <w:szCs w:val="24"/>
        </w:rPr>
        <w:t xml:space="preserve">B. Module 1 — Tiered Evidence-Action Protocol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5660"/>
      </w:tblGrid>
      <w:tr>
        <w:tc>
          <w:tcPr>
            <w:tcW w:type="dxa" w:w="2200"/>
            <w:shd w:fill="1F3864" w:val="clear"/>
          </w:tcPr>
          <w:p>
            <w:pPr>
              <w:spacing w:after="40"/>
            </w:pPr>
            <w:r>
              <w:rPr>
                <w:rFonts w:ascii="Georgia" w:cs="Georgia" w:eastAsia="Georgia" w:hAnsi="Georgia"/>
                <w:b/>
                <w:bCs/>
                <w:color w:val="FFFFFF"/>
                <w:sz w:val="19"/>
                <w:szCs w:val="19"/>
              </w:rPr>
              <w:t xml:space="preserve">Theorem</w:t>
            </w:r>
          </w:p>
        </w:tc>
        <w:tc>
          <w:tcPr>
            <w:tcW w:type="dxa" w:w="1500"/>
            <w:shd w:fill="1F3864" w:val="clear"/>
          </w:tcPr>
          <w:p>
            <w:pPr>
              <w:spacing w:after="40"/>
            </w:pPr>
            <w:r>
              <w:rPr>
                <w:rFonts w:ascii="Georgia" w:cs="Georgia" w:eastAsia="Georgia" w:hAnsi="Georgia"/>
                <w:b/>
                <w:bCs/>
                <w:color w:val="FFFFFF"/>
                <w:sz w:val="19"/>
                <w:szCs w:val="19"/>
              </w:rPr>
              <w:t xml:space="preserve">Spec</w:t>
            </w:r>
          </w:p>
        </w:tc>
        <w:tc>
          <w:tcPr>
            <w:tcW w:type="dxa" w:w="5660"/>
            <w:shd w:fill="1F3864" w:val="clear"/>
          </w:tcPr>
          <w:p>
            <w:pPr>
              <w:spacing w:after="40"/>
            </w:pPr>
            <w:r>
              <w:rPr>
                <w:rFonts w:ascii="Georgia" w:cs="Georgia" w:eastAsia="Georgia" w:hAnsi="Georgia"/>
                <w:b/>
                <w:bCs/>
                <w:color w:val="FFFFFF"/>
                <w:sz w:val="19"/>
                <w:szCs w:val="19"/>
              </w:rPr>
              <w:t xml:space="preserve">Verified guarantee</w:t>
            </w:r>
          </w:p>
        </w:tc>
      </w:tr>
      <w:tr>
        <w:tc>
          <w:tcPr>
            <w:tcW w:type="dxa" w:w="2200"/>
            <w:shd w:fill="EDF1F8" w:val="clear"/>
          </w:tcPr>
          <w:p>
            <w:pPr>
              <w:spacing w:after="40"/>
            </w:pPr>
            <w:r>
              <w:rPr>
                <w:rFonts w:ascii="Consolas" w:cs="Consolas" w:eastAsia="Consolas" w:hAnsi="Consolas"/>
                <w:sz w:val="17"/>
                <w:szCs w:val="17"/>
              </w:rPr>
              <w:t xml:space="preserve">tier_monotone</w:t>
            </w:r>
          </w:p>
        </w:tc>
        <w:tc>
          <w:tcPr>
            <w:tcW w:type="dxa" w:w="1500"/>
            <w:shd w:fill="EDF1F8" w:val="clear"/>
          </w:tcPr>
          <w:p>
            <w:pPr>
              <w:spacing w:after="40"/>
            </w:pPr>
            <w:r>
              <w:rPr>
                <w:rFonts w:ascii="Georgia" w:cs="Georgia" w:eastAsia="Georgia" w:hAnsi="Georgia"/>
                <w:sz w:val="19"/>
                <w:szCs w:val="19"/>
              </w:rPr>
              <w:t xml:space="preserve">§5.4</w:t>
            </w:r>
          </w:p>
        </w:tc>
        <w:tc>
          <w:tcPr>
            <w:tcW w:type="dxa" w:w="5660"/>
            <w:shd w:fill="EDF1F8" w:val="clear"/>
          </w:tcPr>
          <w:p>
            <w:pPr>
              <w:spacing w:after="40"/>
            </w:pPr>
            <w:r>
              <w:rPr>
                <w:rFonts w:ascii="Georgia" w:cs="Georgia" w:eastAsia="Georgia" w:hAnsi="Georgia"/>
                <w:sz w:val="19"/>
                <w:szCs w:val="19"/>
              </w:rPr>
              <w:t xml:space="preserve">Authorization is upward-closed in evidence: stronger evidence never removes an authorized response.</w:t>
            </w:r>
          </w:p>
        </w:tc>
      </w:tr>
      <w:tr>
        <w:tc>
          <w:tcPr>
            <w:tcW w:type="dxa" w:w="2200"/>
            <w:shd w:fill="FFFFFF" w:val="clear"/>
          </w:tcPr>
          <w:p>
            <w:pPr>
              <w:spacing w:after="40"/>
            </w:pPr>
            <w:r>
              <w:rPr>
                <w:rFonts w:ascii="Consolas" w:cs="Consolas" w:eastAsia="Consolas" w:hAnsi="Consolas"/>
                <w:sz w:val="17"/>
                <w:szCs w:val="17"/>
              </w:rPr>
              <w:t xml:space="preserve">severity_le_evidence</w:t>
            </w:r>
          </w:p>
        </w:tc>
        <w:tc>
          <w:tcPr>
            <w:tcW w:type="dxa" w:w="1500"/>
            <w:shd w:fill="FFFFFF" w:val="clear"/>
          </w:tcPr>
          <w:p>
            <w:pPr>
              <w:spacing w:after="40"/>
            </w:pPr>
            <w:r>
              <w:rPr>
                <w:rFonts w:ascii="Georgia" w:cs="Georgia" w:eastAsia="Georgia" w:hAnsi="Georgia"/>
                <w:sz w:val="19"/>
                <w:szCs w:val="19"/>
              </w:rPr>
              <w:t xml:space="preserve">§5.4</w:t>
            </w:r>
          </w:p>
        </w:tc>
        <w:tc>
          <w:tcPr>
            <w:tcW w:type="dxa" w:w="5660"/>
            <w:shd w:fill="FFFFFF" w:val="clear"/>
          </w:tcPr>
          <w:p>
            <w:pPr>
              <w:spacing w:after="40"/>
            </w:pPr>
            <w:r>
              <w:rPr>
                <w:rFonts w:ascii="Georgia" w:cs="Georgia" w:eastAsia="Georgia" w:hAnsi="Georgia"/>
                <w:sz w:val="19"/>
                <w:szCs w:val="19"/>
              </w:rPr>
              <w:t xml:space="preserve">Response severity never exceeds evidence rank: force cannot outrun proof.</w:t>
            </w:r>
          </w:p>
        </w:tc>
      </w:tr>
      <w:tr>
        <w:tc>
          <w:tcPr>
            <w:tcW w:type="dxa" w:w="2200"/>
            <w:shd w:fill="EDF1F8" w:val="clear"/>
          </w:tcPr>
          <w:p>
            <w:pPr>
              <w:spacing w:after="40"/>
            </w:pPr>
            <w:r>
              <w:rPr>
                <w:rFonts w:ascii="Consolas" w:cs="Consolas" w:eastAsia="Consolas" w:hAnsi="Consolas"/>
                <w:sz w:val="17"/>
                <w:szCs w:val="17"/>
              </w:rPr>
              <w:t xml:space="preserve">sub_causal_reversible</w:t>
            </w:r>
          </w:p>
        </w:tc>
        <w:tc>
          <w:tcPr>
            <w:tcW w:type="dxa" w:w="1500"/>
            <w:shd w:fill="EDF1F8" w:val="clear"/>
          </w:tcPr>
          <w:p>
            <w:pPr>
              <w:spacing w:after="40"/>
            </w:pPr>
            <w:r>
              <w:rPr>
                <w:rFonts w:ascii="Georgia" w:cs="Georgia" w:eastAsia="Georgia" w:hAnsi="Georgia"/>
                <w:sz w:val="19"/>
                <w:szCs w:val="19"/>
              </w:rPr>
              <w:t xml:space="preserve">§5.4</w:t>
            </w:r>
          </w:p>
        </w:tc>
        <w:tc>
          <w:tcPr>
            <w:tcW w:type="dxa" w:w="5660"/>
            <w:shd w:fill="EDF1F8" w:val="clear"/>
          </w:tcPr>
          <w:p>
            <w:pPr>
              <w:spacing w:after="40"/>
            </w:pPr>
            <w:r>
              <w:rPr>
                <w:rFonts w:ascii="Georgia" w:cs="Georgia" w:eastAsia="Georgia" w:hAnsi="Georgia"/>
                <w:sz w:val="19"/>
                <w:szCs w:val="19"/>
              </w:rPr>
              <w:t xml:space="preserve">Everything authorized below Tier 3 is reversible.</w:t>
            </w:r>
          </w:p>
        </w:tc>
      </w:tr>
      <w:tr>
        <w:tc>
          <w:tcPr>
            <w:tcW w:type="dxa" w:w="2200"/>
            <w:shd w:fill="FFFFFF" w:val="clear"/>
          </w:tcPr>
          <w:p>
            <w:pPr>
              <w:spacing w:after="40"/>
            </w:pPr>
            <w:r>
              <w:rPr>
                <w:rFonts w:ascii="Consolas" w:cs="Consolas" w:eastAsia="Consolas" w:hAnsi="Consolas"/>
                <w:sz w:val="17"/>
                <w:szCs w:val="17"/>
              </w:rPr>
              <w:t xml:space="preserve">irreversible_iff_causal</w:t>
            </w:r>
          </w:p>
        </w:tc>
        <w:tc>
          <w:tcPr>
            <w:tcW w:type="dxa" w:w="1500"/>
            <w:shd w:fill="FFFFFF" w:val="clear"/>
          </w:tcPr>
          <w:p>
            <w:pPr>
              <w:spacing w:after="40"/>
            </w:pPr>
            <w:r>
              <w:rPr>
                <w:rFonts w:ascii="Georgia" w:cs="Georgia" w:eastAsia="Georgia" w:hAnsi="Georgia"/>
                <w:sz w:val="19"/>
                <w:szCs w:val="19"/>
              </w:rPr>
              <w:t xml:space="preserve">§5.4, §5.5</w:t>
            </w:r>
          </w:p>
        </w:tc>
        <w:tc>
          <w:tcPr>
            <w:tcW w:type="dxa" w:w="5660"/>
            <w:shd w:fill="FFFFFF" w:val="clear"/>
          </w:tcPr>
          <w:p>
            <w:pPr>
              <w:spacing w:after="40"/>
            </w:pPr>
            <w:r>
              <w:rPr>
                <w:rFonts w:ascii="Georgia" w:cs="Georgia" w:eastAsia="Georgia" w:hAnsi="Georgia"/>
                <w:sz w:val="19"/>
                <w:szCs w:val="19"/>
              </w:rPr>
              <w:t xml:space="preserve">Irreversible mechanisms are authorized exactly when full causal identification holds — never earlier, never blocked once satisfied.</w:t>
            </w:r>
          </w:p>
        </w:tc>
      </w:tr>
      <w:tr>
        <w:tc>
          <w:tcPr>
            <w:tcW w:type="dxa" w:w="2200"/>
            <w:shd w:fill="EDF1F8" w:val="clear"/>
          </w:tcPr>
          <w:p>
            <w:pPr>
              <w:spacing w:after="40"/>
            </w:pPr>
            <w:r>
              <w:rPr>
                <w:rFonts w:ascii="Consolas" w:cs="Consolas" w:eastAsia="Consolas" w:hAnsi="Consolas"/>
                <w:sz w:val="17"/>
                <w:szCs w:val="17"/>
              </w:rPr>
              <w:t xml:space="preserve">broadcast_universal</w:t>
            </w:r>
          </w:p>
        </w:tc>
        <w:tc>
          <w:tcPr>
            <w:tcW w:type="dxa" w:w="1500"/>
            <w:shd w:fill="EDF1F8" w:val="clear"/>
          </w:tcPr>
          <w:p>
            <w:pPr>
              <w:spacing w:after="40"/>
            </w:pPr>
            <w:r>
              <w:rPr>
                <w:rFonts w:ascii="Georgia" w:cs="Georgia" w:eastAsia="Georgia" w:hAnsi="Georgia"/>
                <w:sz w:val="19"/>
                <w:szCs w:val="19"/>
              </w:rPr>
              <w:t xml:space="preserve">§9.3 (M4)</w:t>
            </w:r>
          </w:p>
        </w:tc>
        <w:tc>
          <w:tcPr>
            <w:tcW w:type="dxa" w:w="5660"/>
            <w:shd w:fill="EDF1F8" w:val="clear"/>
          </w:tcPr>
          <w:p>
            <w:pPr>
              <w:spacing w:after="40"/>
            </w:pPr>
            <w:r>
              <w:rPr>
                <w:rFonts w:ascii="Georgia" w:cs="Georgia" w:eastAsia="Georgia" w:hAnsi="Georgia"/>
                <w:sz w:val="19"/>
                <w:szCs w:val="19"/>
              </w:rPr>
              <w:t xml:space="preserve">The transparency broadcast is authorized at every tier: the system can always say what it sees.</w:t>
            </w:r>
          </w:p>
        </w:tc>
      </w:tr>
      <w:tr>
        <w:tc>
          <w:tcPr>
            <w:tcW w:type="dxa" w:w="2200"/>
            <w:shd w:fill="FFFFFF" w:val="clear"/>
          </w:tcPr>
          <w:p>
            <w:pPr>
              <w:spacing w:after="40"/>
            </w:pPr>
            <w:r>
              <w:rPr>
                <w:rFonts w:ascii="Consolas" w:cs="Consolas" w:eastAsia="Consolas" w:hAnsi="Consolas"/>
                <w:sz w:val="17"/>
                <w:szCs w:val="17"/>
              </w:rPr>
              <w:t xml:space="preserve">pio_ceiling</w:t>
            </w:r>
          </w:p>
        </w:tc>
        <w:tc>
          <w:tcPr>
            <w:tcW w:type="dxa" w:w="1500"/>
            <w:shd w:fill="FFFFFF" w:val="clear"/>
          </w:tcPr>
          <w:p>
            <w:pPr>
              <w:spacing w:after="40"/>
            </w:pPr>
            <w:r>
              <w:rPr>
                <w:rFonts w:ascii="Georgia" w:cs="Georgia" w:eastAsia="Georgia" w:hAnsi="Georgia"/>
                <w:sz w:val="19"/>
                <w:szCs w:val="19"/>
              </w:rPr>
              <w:t xml:space="preserve">§5.4 (PIO)</w:t>
            </w:r>
          </w:p>
        </w:tc>
        <w:tc>
          <w:tcPr>
            <w:tcW w:type="dxa" w:w="5660"/>
            <w:shd w:fill="FFFFFF" w:val="clear"/>
          </w:tcPr>
          <w:p>
            <w:pPr>
              <w:spacing w:after="40"/>
            </w:pPr>
            <w:r>
              <w:rPr>
                <w:rFonts w:ascii="Georgia" w:cs="Georgia" w:eastAsia="Georgia" w:hAnsi="Georgia"/>
                <w:sz w:val="19"/>
                <w:szCs w:val="19"/>
              </w:rPr>
              <w:t xml:space="preserve">No state of a Protective Interim Order authorizes above Tier-1 severity.</w:t>
            </w:r>
          </w:p>
        </w:tc>
      </w:tr>
      <w:tr>
        <w:tc>
          <w:tcPr>
            <w:tcW w:type="dxa" w:w="2200"/>
            <w:shd w:fill="EDF1F8" w:val="clear"/>
          </w:tcPr>
          <w:p>
            <w:pPr>
              <w:spacing w:after="40"/>
            </w:pPr>
            <w:r>
              <w:rPr>
                <w:rFonts w:ascii="Consolas" w:cs="Consolas" w:eastAsia="Consolas" w:hAnsi="Consolas"/>
                <w:sz w:val="17"/>
                <w:szCs w:val="17"/>
              </w:rPr>
              <w:t xml:space="preserve">pio_reversible</w:t>
            </w:r>
          </w:p>
        </w:tc>
        <w:tc>
          <w:tcPr>
            <w:tcW w:type="dxa" w:w="1500"/>
            <w:shd w:fill="EDF1F8" w:val="clear"/>
          </w:tcPr>
          <w:p>
            <w:pPr>
              <w:spacing w:after="40"/>
            </w:pPr>
            <w:r>
              <w:rPr>
                <w:rFonts w:ascii="Georgia" w:cs="Georgia" w:eastAsia="Georgia" w:hAnsi="Georgia"/>
                <w:sz w:val="19"/>
                <w:szCs w:val="19"/>
              </w:rPr>
              <w:t xml:space="preserve">§5.4</w:t>
            </w:r>
          </w:p>
        </w:tc>
        <w:tc>
          <w:tcPr>
            <w:tcW w:type="dxa" w:w="5660"/>
            <w:shd w:fill="EDF1F8" w:val="clear"/>
          </w:tcPr>
          <w:p>
            <w:pPr>
              <w:spacing w:after="40"/>
            </w:pPr>
            <w:r>
              <w:rPr>
                <w:rFonts w:ascii="Georgia" w:cs="Georgia" w:eastAsia="Georgia" w:hAnsi="Georgia"/>
                <w:sz w:val="19"/>
                <w:szCs w:val="19"/>
              </w:rPr>
              <w:t xml:space="preserve">Everything a PIO authorizes is reversible.</w:t>
            </w:r>
          </w:p>
        </w:tc>
      </w:tr>
      <w:tr>
        <w:tc>
          <w:tcPr>
            <w:tcW w:type="dxa" w:w="2200"/>
            <w:shd w:fill="FFFFFF" w:val="clear"/>
          </w:tcPr>
          <w:p>
            <w:pPr>
              <w:spacing w:after="40"/>
            </w:pPr>
            <w:r>
              <w:rPr>
                <w:rFonts w:ascii="Consolas" w:cs="Consolas" w:eastAsia="Consolas" w:hAnsi="Consolas"/>
                <w:sz w:val="17"/>
                <w:szCs w:val="17"/>
              </w:rPr>
              <w:t xml:space="preserve">pio_resolves</w:t>
            </w:r>
          </w:p>
        </w:tc>
        <w:tc>
          <w:tcPr>
            <w:tcW w:type="dxa" w:w="1500"/>
            <w:shd w:fill="FFFFFF" w:val="clear"/>
          </w:tcPr>
          <w:p>
            <w:pPr>
              <w:spacing w:after="40"/>
            </w:pPr>
            <w:r>
              <w:rPr>
                <w:rFonts w:ascii="Georgia" w:cs="Georgia" w:eastAsia="Georgia" w:hAnsi="Georgia"/>
                <w:sz w:val="19"/>
                <w:szCs w:val="19"/>
              </w:rPr>
              <w:t xml:space="preserve">§5.4</w:t>
            </w:r>
          </w:p>
        </w:tc>
        <w:tc>
          <w:tcPr>
            <w:tcW w:type="dxa" w:w="5660"/>
            <w:shd w:fill="FFFFFF" w:val="clear"/>
          </w:tcPr>
          <w:p>
            <w:pPr>
              <w:spacing w:after="40"/>
            </w:pPr>
            <w:r>
              <w:rPr>
                <w:rFonts w:ascii="Georgia" w:cs="Georgia" w:eastAsia="Georgia" w:hAnsi="Georgia"/>
                <w:sz w:val="19"/>
                <w:szCs w:val="19"/>
              </w:rPr>
              <w:t xml:space="preserve">A PIO cannot remain pending past 72 hours: it is confirmed or auto-reversed (proved as termination of a state machine).</w:t>
            </w:r>
          </w:p>
        </w:tc>
      </w:tr>
      <w:tr>
        <w:tc>
          <w:tcPr>
            <w:tcW w:type="dxa" w:w="2200"/>
            <w:shd w:fill="EDF1F8" w:val="clear"/>
          </w:tcPr>
          <w:p>
            <w:pPr>
              <w:spacing w:after="40"/>
            </w:pPr>
            <w:r>
              <w:rPr>
                <w:rFonts w:ascii="Consolas" w:cs="Consolas" w:eastAsia="Consolas" w:hAnsi="Consolas"/>
                <w:sz w:val="17"/>
                <w:szCs w:val="17"/>
              </w:rPr>
              <w:t xml:space="preserve">no_chatter</w:t>
            </w:r>
          </w:p>
        </w:tc>
        <w:tc>
          <w:tcPr>
            <w:tcW w:type="dxa" w:w="1500"/>
            <w:shd w:fill="EDF1F8" w:val="clear"/>
          </w:tcPr>
          <w:p>
            <w:pPr>
              <w:spacing w:after="40"/>
            </w:pPr>
            <w:r>
              <w:rPr>
                <w:rFonts w:ascii="Georgia" w:cs="Georgia" w:eastAsia="Georgia" w:hAnsi="Georgia"/>
                <w:sz w:val="19"/>
                <w:szCs w:val="19"/>
              </w:rPr>
              <w:t xml:space="preserve">§9.2</w:t>
            </w:r>
          </w:p>
        </w:tc>
        <w:tc>
          <w:tcPr>
            <w:tcW w:type="dxa" w:w="5660"/>
            <w:shd w:fill="EDF1F8" w:val="clear"/>
          </w:tcPr>
          <w:p>
            <w:pPr>
              <w:spacing w:after="40"/>
            </w:pPr>
            <w:r>
              <w:rPr>
                <w:rFonts w:ascii="Georgia" w:cs="Georgia" w:eastAsia="Georgia" w:hAnsi="Georgia"/>
                <w:sz w:val="19"/>
                <w:szCs w:val="19"/>
              </w:rPr>
              <w:t xml:space="preserve">The hysteresis gap makes simultaneous escalate/de-escalate conditions logically unsatisfiable.</w:t>
            </w:r>
          </w:p>
        </w:tc>
      </w:tr>
    </w:tbl>
    <w:p>
      <w:pPr>
        <w:spacing w:after="80" w:line="276"/>
      </w:pPr>
      <w:r>
        <w:rPr>
          <w:rFonts w:ascii="Georgia" w:cs="Georgia" w:eastAsia="Georgia" w:hAnsi="Georgia"/>
          <w:sz w:val="21"/>
          <w:szCs w:val="21"/>
        </w:rPr>
        <w:t xml:space="preserve"/>
      </w:r>
    </w:p>
    <w:p>
      <w:pPr>
        <w:pStyle w:val="Heading2"/>
        <w:spacing w:after="160" w:before="280"/>
      </w:pPr>
      <w:r>
        <w:rPr>
          <w:rFonts w:ascii="Georgia" w:cs="Georgia" w:eastAsia="Georgia" w:hAnsi="Georgia"/>
          <w:b/>
          <w:bCs/>
          <w:color w:val="2E5395"/>
          <w:sz w:val="24"/>
          <w:szCs w:val="24"/>
        </w:rPr>
        <w:t xml:space="preserve">C. Module 2 — Crisis Frequency Cap, Structural Review, Axiom II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5660"/>
      </w:tblGrid>
      <w:tr>
        <w:tc>
          <w:tcPr>
            <w:tcW w:type="dxa" w:w="2200"/>
            <w:shd w:fill="1F3864" w:val="clear"/>
          </w:tcPr>
          <w:p>
            <w:pPr>
              <w:spacing w:after="40"/>
            </w:pPr>
            <w:r>
              <w:rPr>
                <w:rFonts w:ascii="Georgia" w:cs="Georgia" w:eastAsia="Georgia" w:hAnsi="Georgia"/>
                <w:b/>
                <w:bCs/>
                <w:color w:val="FFFFFF"/>
                <w:sz w:val="19"/>
                <w:szCs w:val="19"/>
              </w:rPr>
              <w:t xml:space="preserve">Theorem</w:t>
            </w:r>
          </w:p>
        </w:tc>
        <w:tc>
          <w:tcPr>
            <w:tcW w:type="dxa" w:w="1500"/>
            <w:shd w:fill="1F3864" w:val="clear"/>
          </w:tcPr>
          <w:p>
            <w:pPr>
              <w:spacing w:after="40"/>
            </w:pPr>
            <w:r>
              <w:rPr>
                <w:rFonts w:ascii="Georgia" w:cs="Georgia" w:eastAsia="Georgia" w:hAnsi="Georgia"/>
                <w:b/>
                <w:bCs/>
                <w:color w:val="FFFFFF"/>
                <w:sz w:val="19"/>
                <w:szCs w:val="19"/>
              </w:rPr>
              <w:t xml:space="preserve">Spec</w:t>
            </w:r>
          </w:p>
        </w:tc>
        <w:tc>
          <w:tcPr>
            <w:tcW w:type="dxa" w:w="5660"/>
            <w:shd w:fill="1F3864" w:val="clear"/>
          </w:tcPr>
          <w:p>
            <w:pPr>
              <w:spacing w:after="40"/>
            </w:pPr>
            <w:r>
              <w:rPr>
                <w:rFonts w:ascii="Georgia" w:cs="Georgia" w:eastAsia="Georgia" w:hAnsi="Georgia"/>
                <w:b/>
                <w:bCs/>
                <w:color w:val="FFFFFF"/>
                <w:sz w:val="19"/>
                <w:szCs w:val="19"/>
              </w:rPr>
              <w:t xml:space="preserve">Verified guarantee</w:t>
            </w:r>
          </w:p>
        </w:tc>
      </w:tr>
      <w:tr>
        <w:tc>
          <w:tcPr>
            <w:tcW w:type="dxa" w:w="2200"/>
            <w:shd w:fill="EDF1F8" w:val="clear"/>
          </w:tcPr>
          <w:p>
            <w:pPr>
              <w:spacing w:after="40"/>
            </w:pPr>
            <w:r>
              <w:rPr>
                <w:rFonts w:ascii="Consolas" w:cs="Consolas" w:eastAsia="Consolas" w:hAnsi="Consolas"/>
                <w:sz w:val="17"/>
                <w:szCs w:val="17"/>
              </w:rPr>
              <w:t xml:space="preserve">window_head_bound</w:t>
            </w:r>
          </w:p>
        </w:tc>
        <w:tc>
          <w:tcPr>
            <w:tcW w:type="dxa" w:w="1500"/>
            <w:shd w:fill="EDF1F8" w:val="clear"/>
          </w:tcPr>
          <w:p>
            <w:pPr>
              <w:spacing w:after="40"/>
            </w:pPr>
            <w:r>
              <w:rPr>
                <w:rFonts w:ascii="Georgia" w:cs="Georgia" w:eastAsia="Georgia" w:hAnsi="Georgia"/>
                <w:sz w:val="19"/>
                <w:szCs w:val="19"/>
              </w:rPr>
              <w:t xml:space="preserve">Comp. A §12.3</w:t>
            </w:r>
          </w:p>
        </w:tc>
        <w:tc>
          <w:tcPr>
            <w:tcW w:type="dxa" w:w="5660"/>
            <w:shd w:fill="EDF1F8" w:val="clear"/>
          </w:tcPr>
          <w:p>
            <w:pPr>
              <w:spacing w:after="40"/>
            </w:pPr>
            <w:r>
              <w:rPr>
                <w:rFonts w:ascii="Georgia" w:cs="Georgia" w:eastAsia="Georgia" w:hAnsi="Georgia"/>
                <w:sz w:val="19"/>
                <w:szCs w:val="19"/>
              </w:rPr>
              <w:t xml:space="preserve">The current rolling 24-month window carries at most T_cap emergency days.</w:t>
            </w:r>
          </w:p>
        </w:tc>
      </w:tr>
      <w:tr>
        <w:tc>
          <w:tcPr>
            <w:tcW w:type="dxa" w:w="2200"/>
            <w:shd w:fill="FFFFFF" w:val="clear"/>
          </w:tcPr>
          <w:p>
            <w:pPr>
              <w:spacing w:after="40"/>
            </w:pPr>
            <w:r>
              <w:rPr>
                <w:rFonts w:ascii="Consolas" w:cs="Consolas" w:eastAsia="Consolas" w:hAnsi="Consolas"/>
                <w:sz w:val="17"/>
                <w:szCs w:val="17"/>
              </w:rPr>
              <w:t xml:space="preserve">rolling_window_bound</w:t>
            </w:r>
          </w:p>
        </w:tc>
        <w:tc>
          <w:tcPr>
            <w:tcW w:type="dxa" w:w="1500"/>
            <w:shd w:fill="FFFFFF" w:val="clear"/>
          </w:tcPr>
          <w:p>
            <w:pPr>
              <w:spacing w:after="40"/>
            </w:pPr>
            <w:r>
              <w:rPr>
                <w:rFonts w:ascii="Georgia" w:cs="Georgia" w:eastAsia="Georgia" w:hAnsi="Georgia"/>
                <w:sz w:val="19"/>
                <w:szCs w:val="19"/>
              </w:rPr>
              <w:t xml:space="preserve">§12.3</w:t>
            </w:r>
          </w:p>
        </w:tc>
        <w:tc>
          <w:tcPr>
            <w:tcW w:type="dxa" w:w="5660"/>
            <w:shd w:fill="FFFFFF" w:val="clear"/>
          </w:tcPr>
          <w:p>
            <w:pPr>
              <w:spacing w:after="40"/>
            </w:pPr>
            <w:r>
              <w:rPr>
                <w:rFonts w:ascii="Georgia" w:cs="Georgia" w:eastAsia="Georgia" w:hAnsi="Georgia"/>
                <w:sz w:val="19"/>
                <w:szCs w:val="19"/>
              </w:rPr>
              <w:t xml:space="preserve">The bound holds at every historical offset: the cap cannot have been violated in the past of a valid present.</w:t>
            </w:r>
          </w:p>
        </w:tc>
      </w:tr>
      <w:tr>
        <w:tc>
          <w:tcPr>
            <w:tcW w:type="dxa" w:w="2200"/>
            <w:shd w:fill="EDF1F8" w:val="clear"/>
          </w:tcPr>
          <w:p>
            <w:pPr>
              <w:spacing w:after="40"/>
            </w:pPr>
            <w:r>
              <w:rPr>
                <w:rFonts w:ascii="Consolas" w:cs="Consolas" w:eastAsia="Consolas" w:hAnsi="Consolas"/>
                <w:sz w:val="17"/>
                <w:szCs w:val="17"/>
              </w:rPr>
              <w:t xml:space="preserve">no_permanent_emergency</w:t>
            </w:r>
          </w:p>
        </w:tc>
        <w:tc>
          <w:tcPr>
            <w:tcW w:type="dxa" w:w="1500"/>
            <w:shd w:fill="EDF1F8" w:val="clear"/>
          </w:tcPr>
          <w:p>
            <w:pPr>
              <w:spacing w:after="40"/>
            </w:pPr>
            <w:r>
              <w:rPr>
                <w:rFonts w:ascii="Georgia" w:cs="Georgia" w:eastAsia="Georgia" w:hAnsi="Georgia"/>
                <w:sz w:val="19"/>
                <w:szCs w:val="19"/>
              </w:rPr>
              <w:t xml:space="preserve">§12.3</w:t>
            </w:r>
          </w:p>
        </w:tc>
        <w:tc>
          <w:tcPr>
            <w:tcW w:type="dxa" w:w="5660"/>
            <w:shd w:fill="EDF1F8" w:val="clear"/>
          </w:tcPr>
          <w:p>
            <w:pPr>
              <w:spacing w:after="40"/>
            </w:pPr>
            <w:r>
              <w:rPr>
                <w:rFonts w:ascii="Georgia" w:cs="Georgia" w:eastAsia="Georgia" w:hAnsi="Georgia"/>
                <w:sz w:val="19"/>
                <w:szCs w:val="19"/>
              </w:rPr>
              <w:t xml:space="preserve">No protocol-valid history contains more than T_cap consecutive emergency days, for any continuation.</w:t>
            </w:r>
          </w:p>
        </w:tc>
      </w:tr>
      <w:tr>
        <w:tc>
          <w:tcPr>
            <w:tcW w:type="dxa" w:w="2200"/>
            <w:shd w:fill="FFFFFF" w:val="clear"/>
          </w:tcPr>
          <w:p>
            <w:pPr>
              <w:spacing w:after="40"/>
            </w:pPr>
            <w:r>
              <w:rPr>
                <w:rFonts w:ascii="Consolas" w:cs="Consolas" w:eastAsia="Consolas" w:hAnsi="Consolas"/>
                <w:sz w:val="17"/>
                <w:szCs w:val="17"/>
              </w:rPr>
              <w:t xml:space="preserve">no_emergency_in_review</w:t>
            </w:r>
          </w:p>
        </w:tc>
        <w:tc>
          <w:tcPr>
            <w:tcW w:type="dxa" w:w="1500"/>
            <w:shd w:fill="FFFFFF" w:val="clear"/>
          </w:tcPr>
          <w:p>
            <w:pPr>
              <w:spacing w:after="40"/>
            </w:pPr>
            <w:r>
              <w:rPr>
                <w:rFonts w:ascii="Georgia" w:cs="Georgia" w:eastAsia="Georgia" w:hAnsi="Georgia"/>
                <w:sz w:val="19"/>
                <w:szCs w:val="19"/>
              </w:rPr>
              <w:t xml:space="preserve">§12.3</w:t>
            </w:r>
          </w:p>
        </w:tc>
        <w:tc>
          <w:tcPr>
            <w:tcW w:type="dxa" w:w="5660"/>
            <w:shd w:fill="FFFFFF" w:val="clear"/>
          </w:tcPr>
          <w:p>
            <w:pPr>
              <w:spacing w:after="40"/>
            </w:pPr>
            <w:r>
              <w:rPr>
                <w:rFonts w:ascii="Georgia" w:cs="Georgia" w:eastAsia="Georgia" w:hAnsi="Georgia"/>
                <w:sz w:val="19"/>
                <w:szCs w:val="19"/>
              </w:rPr>
              <w:t xml:space="preserve">No event grants emergency authority while Structural Review is open.</w:t>
            </w:r>
          </w:p>
        </w:tc>
      </w:tr>
      <w:tr>
        <w:tc>
          <w:tcPr>
            <w:tcW w:type="dxa" w:w="2200"/>
            <w:shd w:fill="EDF1F8" w:val="clear"/>
          </w:tcPr>
          <w:p>
            <w:pPr>
              <w:spacing w:after="40"/>
            </w:pPr>
            <w:r>
              <w:rPr>
                <w:rFonts w:ascii="Consolas" w:cs="Consolas" w:eastAsia="Consolas" w:hAnsi="Consolas"/>
                <w:sz w:val="17"/>
                <w:szCs w:val="17"/>
              </w:rPr>
              <w:t xml:space="preserve">review_absorbing</w:t>
            </w:r>
          </w:p>
        </w:tc>
        <w:tc>
          <w:tcPr>
            <w:tcW w:type="dxa" w:w="1500"/>
            <w:shd w:fill="EDF1F8" w:val="clear"/>
          </w:tcPr>
          <w:p>
            <w:pPr>
              <w:spacing w:after="40"/>
            </w:pPr>
            <w:r>
              <w:rPr>
                <w:rFonts w:ascii="Georgia" w:cs="Georgia" w:eastAsia="Georgia" w:hAnsi="Georgia"/>
                <w:sz w:val="19"/>
                <w:szCs w:val="19"/>
              </w:rPr>
              <w:t xml:space="preserve">§12.3</w:t>
            </w:r>
          </w:p>
        </w:tc>
        <w:tc>
          <w:tcPr>
            <w:tcW w:type="dxa" w:w="5660"/>
            <w:shd w:fill="EDF1F8" w:val="clear"/>
          </w:tcPr>
          <w:p>
            <w:pPr>
              <w:spacing w:after="40"/>
            </w:pPr>
            <w:r>
              <w:rPr>
                <w:rFonts w:ascii="Georgia" w:cs="Georgia" w:eastAsia="Georgia" w:hAnsi="Georgia"/>
                <w:sz w:val="19"/>
                <w:szCs w:val="19"/>
              </w:rPr>
              <w:t xml:space="preserve">Review survives any event sequence lacking a Layer 0 output: time does not close it.</w:t>
            </w:r>
          </w:p>
        </w:tc>
      </w:tr>
      <w:tr>
        <w:tc>
          <w:tcPr>
            <w:tcW w:type="dxa" w:w="2200"/>
            <w:shd w:fill="FFFFFF" w:val="clear"/>
          </w:tcPr>
          <w:p>
            <w:pPr>
              <w:spacing w:after="40"/>
            </w:pPr>
            <w:r>
              <w:rPr>
                <w:rFonts w:ascii="Consolas" w:cs="Consolas" w:eastAsia="Consolas" w:hAnsi="Consolas"/>
                <w:sz w:val="17"/>
                <w:szCs w:val="17"/>
              </w:rPr>
              <w:t xml:space="preserve">review_gate</w:t>
            </w:r>
          </w:p>
        </w:tc>
        <w:tc>
          <w:tcPr>
            <w:tcW w:type="dxa" w:w="1500"/>
            <w:shd w:fill="FFFFFF" w:val="clear"/>
          </w:tcPr>
          <w:p>
            <w:pPr>
              <w:spacing w:after="40"/>
            </w:pPr>
            <w:r>
              <w:rPr>
                <w:rFonts w:ascii="Georgia" w:cs="Georgia" w:eastAsia="Georgia" w:hAnsi="Georgia"/>
                <w:sz w:val="19"/>
                <w:szCs w:val="19"/>
              </w:rPr>
              <w:t xml:space="preserve">§12.3</w:t>
            </w:r>
          </w:p>
        </w:tc>
        <w:tc>
          <w:tcPr>
            <w:tcW w:type="dxa" w:w="5660"/>
            <w:shd w:fill="FFFFFF" w:val="clear"/>
          </w:tcPr>
          <w:p>
            <w:pPr>
              <w:spacing w:after="40"/>
            </w:pPr>
            <w:r>
              <w:rPr>
                <w:rFonts w:ascii="Georgia" w:cs="Georgia" w:eastAsia="Georgia" w:hAnsi="Georgia"/>
                <w:sz w:val="19"/>
                <w:szCs w:val="19"/>
              </w:rPr>
              <w:t xml:space="preserve">Across any output-free span, emergency authority is never granted at any point.</w:t>
            </w:r>
          </w:p>
        </w:tc>
      </w:tr>
      <w:tr>
        <w:tc>
          <w:tcPr>
            <w:tcW w:type="dxa" w:w="2200"/>
            <w:shd w:fill="EDF1F8" w:val="clear"/>
          </w:tcPr>
          <w:p>
            <w:pPr>
              <w:spacing w:after="40"/>
            </w:pPr>
            <w:r>
              <w:rPr>
                <w:rFonts w:ascii="Consolas" w:cs="Consolas" w:eastAsia="Consolas" w:hAnsi="Consolas"/>
                <w:sz w:val="17"/>
                <w:szCs w:val="17"/>
              </w:rPr>
              <w:t xml:space="preserve">axiomII_dichotomy</w:t>
            </w:r>
          </w:p>
        </w:tc>
        <w:tc>
          <w:tcPr>
            <w:tcW w:type="dxa" w:w="1500"/>
            <w:shd w:fill="EDF1F8" w:val="clear"/>
          </w:tcPr>
          <w:p>
            <w:pPr>
              <w:spacing w:after="40"/>
            </w:pPr>
            <w:r>
              <w:rPr>
                <w:rFonts w:ascii="Georgia" w:cs="Georgia" w:eastAsia="Georgia" w:hAnsi="Georgia"/>
                <w:sz w:val="19"/>
                <w:szCs w:val="19"/>
              </w:rPr>
              <w:t xml:space="preserve">§4.2</w:t>
            </w:r>
          </w:p>
        </w:tc>
        <w:tc>
          <w:tcPr>
            <w:tcW w:type="dxa" w:w="5660"/>
            <w:shd w:fill="EDF1F8" w:val="clear"/>
          </w:tcPr>
          <w:p>
            <w:pPr>
              <w:spacing w:after="40"/>
            </w:pPr>
            <w:r>
              <w:rPr>
                <w:rFonts w:ascii="Georgia" w:cs="Georgia" w:eastAsia="Georgia" w:hAnsi="Georgia"/>
                <w:sz w:val="19"/>
                <w:szCs w:val="19"/>
              </w:rPr>
              <w:t xml:space="preserve">Every episode is exactly one of reversibility-claim-valid or locally terminal — exhaustive and exclusive, so “it corrected eventually” and “the harm was irreversible” can never both be asserted.</w:t>
            </w:r>
          </w:p>
        </w:tc>
      </w:tr>
    </w:tbl>
    <w:p>
      <w:pPr>
        <w:spacing w:after="80" w:line="276"/>
      </w:pPr>
      <w:r>
        <w:rPr>
          <w:rFonts w:ascii="Georgia" w:cs="Georgia" w:eastAsia="Georgia" w:hAnsi="Georgia"/>
          <w:sz w:val="21"/>
          <w:szCs w:val="21"/>
        </w:rPr>
        <w:t xml:space="preserve"/>
      </w:r>
    </w:p>
    <w:p>
      <w:pPr>
        <w:pStyle w:val="Heading2"/>
        <w:spacing w:after="160" w:before="280"/>
      </w:pPr>
      <w:r>
        <w:rPr>
          <w:rFonts w:ascii="Georgia" w:cs="Georgia" w:eastAsia="Georgia" w:hAnsi="Georgia"/>
          <w:b/>
          <w:bCs/>
          <w:color w:val="2E5395"/>
          <w:sz w:val="24"/>
          <w:szCs w:val="24"/>
        </w:rPr>
        <w:t xml:space="preserve">D. Module 3 — Byzantine Measurement Consensus, Axiom 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5660"/>
      </w:tblGrid>
      <w:tr>
        <w:tc>
          <w:tcPr>
            <w:tcW w:type="dxa" w:w="2200"/>
            <w:shd w:fill="1F3864" w:val="clear"/>
          </w:tcPr>
          <w:p>
            <w:pPr>
              <w:spacing w:after="40"/>
            </w:pPr>
            <w:r>
              <w:rPr>
                <w:rFonts w:ascii="Georgia" w:cs="Georgia" w:eastAsia="Georgia" w:hAnsi="Georgia"/>
                <w:b/>
                <w:bCs/>
                <w:color w:val="FFFFFF"/>
                <w:sz w:val="19"/>
                <w:szCs w:val="19"/>
              </w:rPr>
              <w:t xml:space="preserve">Theorem</w:t>
            </w:r>
          </w:p>
        </w:tc>
        <w:tc>
          <w:tcPr>
            <w:tcW w:type="dxa" w:w="1500"/>
            <w:shd w:fill="1F3864" w:val="clear"/>
          </w:tcPr>
          <w:p>
            <w:pPr>
              <w:spacing w:after="40"/>
            </w:pPr>
            <w:r>
              <w:rPr>
                <w:rFonts w:ascii="Georgia" w:cs="Georgia" w:eastAsia="Georgia" w:hAnsi="Georgia"/>
                <w:b/>
                <w:bCs/>
                <w:color w:val="FFFFFF"/>
                <w:sz w:val="19"/>
                <w:szCs w:val="19"/>
              </w:rPr>
              <w:t xml:space="preserve">Spec</w:t>
            </w:r>
          </w:p>
        </w:tc>
        <w:tc>
          <w:tcPr>
            <w:tcW w:type="dxa" w:w="5660"/>
            <w:shd w:fill="1F3864" w:val="clear"/>
          </w:tcPr>
          <w:p>
            <w:pPr>
              <w:spacing w:after="40"/>
            </w:pPr>
            <w:r>
              <w:rPr>
                <w:rFonts w:ascii="Georgia" w:cs="Georgia" w:eastAsia="Georgia" w:hAnsi="Georgia"/>
                <w:b/>
                <w:bCs/>
                <w:color w:val="FFFFFF"/>
                <w:sz w:val="19"/>
                <w:szCs w:val="19"/>
              </w:rPr>
              <w:t xml:space="preserve">Verified guarantee</w:t>
            </w:r>
          </w:p>
        </w:tc>
      </w:tr>
      <w:tr>
        <w:tc>
          <w:tcPr>
            <w:tcW w:type="dxa" w:w="2200"/>
            <w:shd w:fill="EDF1F8" w:val="clear"/>
          </w:tcPr>
          <w:p>
            <w:pPr>
              <w:spacing w:after="40"/>
            </w:pPr>
            <w:r>
              <w:rPr>
                <w:rFonts w:ascii="Consolas" w:cs="Consolas" w:eastAsia="Consolas" w:hAnsi="Consolas"/>
                <w:sz w:val="17"/>
                <w:szCs w:val="17"/>
              </w:rPr>
              <w:t xml:space="preserve">honest_strict_majority</w:t>
            </w:r>
          </w:p>
        </w:tc>
        <w:tc>
          <w:tcPr>
            <w:tcW w:type="dxa" w:w="1500"/>
            <w:shd w:fill="EDF1F8" w:val="clear"/>
          </w:tcPr>
          <w:p>
            <w:pPr>
              <w:spacing w:after="40"/>
            </w:pPr>
            <w:r>
              <w:rPr>
                <w:rFonts w:ascii="Georgia" w:cs="Georgia" w:eastAsia="Georgia" w:hAnsi="Georgia"/>
                <w:sz w:val="19"/>
                <w:szCs w:val="19"/>
              </w:rPr>
              <w:t xml:space="preserve">§8.3</w:t>
            </w:r>
          </w:p>
        </w:tc>
        <w:tc>
          <w:tcPr>
            <w:tcW w:type="dxa" w:w="5660"/>
            <w:shd w:fill="EDF1F8" w:val="clear"/>
          </w:tcPr>
          <w:p>
            <w:pPr>
              <w:spacing w:after="40"/>
            </w:pPr>
            <w:r>
              <w:rPr>
                <w:rFonts w:ascii="Georgia" w:cs="Georgia" w:eastAsia="Georgia" w:hAnsi="Georgia"/>
                <w:sz w:val="19"/>
                <w:szCs w:val="19"/>
              </w:rPr>
              <w:t xml:space="preserve">Under m &gt; 2f+1, honest sensors outnumber corrupted ones by at least two.</w:t>
            </w:r>
          </w:p>
        </w:tc>
      </w:tr>
      <w:tr>
        <w:tc>
          <w:tcPr>
            <w:tcW w:type="dxa" w:w="2200"/>
            <w:shd w:fill="FFFFFF" w:val="clear"/>
          </w:tcPr>
          <w:p>
            <w:pPr>
              <w:spacing w:after="40"/>
            </w:pPr>
            <w:r>
              <w:rPr>
                <w:rFonts w:ascii="Consolas" w:cs="Consolas" w:eastAsia="Consolas" w:hAnsi="Consolas"/>
                <w:sz w:val="17"/>
                <w:szCs w:val="17"/>
              </w:rPr>
              <w:t xml:space="preserve">exists_honest_le / _ge</w:t>
            </w:r>
          </w:p>
        </w:tc>
        <w:tc>
          <w:tcPr>
            <w:tcW w:type="dxa" w:w="1500"/>
            <w:shd w:fill="FFFFFF" w:val="clear"/>
          </w:tcPr>
          <w:p>
            <w:pPr>
              <w:spacing w:after="40"/>
            </w:pPr>
            <w:r>
              <w:rPr>
                <w:rFonts w:ascii="Georgia" w:cs="Georgia" w:eastAsia="Georgia" w:hAnsi="Georgia"/>
                <w:sz w:val="19"/>
                <w:szCs w:val="19"/>
              </w:rPr>
              <w:t xml:space="preserve">§8.3</w:t>
            </w:r>
          </w:p>
        </w:tc>
        <w:tc>
          <w:tcPr>
            <w:tcW w:type="dxa" w:w="5660"/>
            <w:shd w:fill="FFFFFF" w:val="clear"/>
          </w:tcPr>
          <w:p>
            <w:pPr>
              <w:spacing w:after="40"/>
            </w:pPr>
            <w:r>
              <w:rPr>
                <w:rFonts w:ascii="Georgia" w:cs="Georgia" w:eastAsia="Georgia" w:hAnsi="Georgia"/>
                <w:sz w:val="19"/>
                <w:szCs w:val="19"/>
              </w:rPr>
              <w:t xml:space="preserve">Pigeonhole core: any f+1 readings at/below (at/above) a value include an honest one.</w:t>
            </w:r>
          </w:p>
        </w:tc>
      </w:tr>
      <w:tr>
        <w:tc>
          <w:tcPr>
            <w:tcW w:type="dxa" w:w="2200"/>
            <w:shd w:fill="EDF1F8" w:val="clear"/>
          </w:tcPr>
          <w:p>
            <w:pPr>
              <w:spacing w:after="40"/>
            </w:pPr>
            <w:r>
              <w:rPr>
                <w:rFonts w:ascii="Consolas" w:cs="Consolas" w:eastAsia="Consolas" w:hAnsi="Consolas"/>
                <w:sz w:val="17"/>
                <w:szCs w:val="17"/>
              </w:rPr>
              <w:t xml:space="preserve">median_bracketed</w:t>
            </w:r>
          </w:p>
        </w:tc>
        <w:tc>
          <w:tcPr>
            <w:tcW w:type="dxa" w:w="1500"/>
            <w:shd w:fill="EDF1F8" w:val="clear"/>
          </w:tcPr>
          <w:p>
            <w:pPr>
              <w:spacing w:after="40"/>
            </w:pPr>
            <w:r>
              <w:rPr>
                <w:rFonts w:ascii="Georgia" w:cs="Georgia" w:eastAsia="Georgia" w:hAnsi="Georgia"/>
                <w:sz w:val="19"/>
                <w:szCs w:val="19"/>
              </w:rPr>
              <w:t xml:space="preserve">§8.3</w:t>
            </w:r>
          </w:p>
        </w:tc>
        <w:tc>
          <w:tcPr>
            <w:tcW w:type="dxa" w:w="5660"/>
            <w:shd w:fill="EDF1F8" w:val="clear"/>
          </w:tcPr>
          <w:p>
            <w:pPr>
              <w:spacing w:after="40"/>
            </w:pPr>
            <w:r>
              <w:rPr>
                <w:rFonts w:ascii="Georgia" w:cs="Georgia" w:eastAsia="Georgia" w:hAnsi="Georgia"/>
                <w:sz w:val="19"/>
                <w:szCs w:val="19"/>
              </w:rPr>
              <w:t xml:space="preserve">Any median-type statistic is bracketed by honest readings on both sides: a captured minority cannot drag thresholds outside the honest envelope.</w:t>
            </w:r>
          </w:p>
        </w:tc>
      </w:tr>
      <w:tr>
        <w:tc>
          <w:tcPr>
            <w:tcW w:type="dxa" w:w="2200"/>
            <w:shd w:fill="FFFFFF" w:val="clear"/>
          </w:tcPr>
          <w:p>
            <w:pPr>
              <w:spacing w:after="40"/>
            </w:pPr>
            <w:r>
              <w:rPr>
                <w:rFonts w:ascii="Consolas" w:cs="Consolas" w:eastAsia="Consolas" w:hAnsi="Consolas"/>
                <w:sz w:val="17"/>
                <w:szCs w:val="17"/>
              </w:rPr>
              <w:t xml:space="preserve">no_corrupt_certificate</w:t>
            </w:r>
          </w:p>
        </w:tc>
        <w:tc>
          <w:tcPr>
            <w:tcW w:type="dxa" w:w="1500"/>
            <w:shd w:fill="FFFFFF" w:val="clear"/>
          </w:tcPr>
          <w:p>
            <w:pPr>
              <w:spacing w:after="40"/>
            </w:pPr>
            <w:r>
              <w:rPr>
                <w:rFonts w:ascii="Georgia" w:cs="Georgia" w:eastAsia="Georgia" w:hAnsi="Georgia"/>
                <w:sz w:val="19"/>
                <w:szCs w:val="19"/>
              </w:rPr>
              <w:t xml:space="preserve">§8.3</w:t>
            </w:r>
          </w:p>
        </w:tc>
        <w:tc>
          <w:tcPr>
            <w:tcW w:type="dxa" w:w="5660"/>
            <w:shd w:fill="FFFFFF" w:val="clear"/>
          </w:tcPr>
          <w:p>
            <w:pPr>
              <w:spacing w:after="40"/>
            </w:pPr>
            <w:r>
              <w:rPr>
                <w:rFonts w:ascii="Georgia" w:cs="Georgia" w:eastAsia="Georgia" w:hAnsi="Georgia"/>
                <w:sz w:val="19"/>
                <w:szCs w:val="19"/>
              </w:rPr>
              <w:t xml:space="preserve">No coalition of ≤ f sensors can certify a reading no honest sensor made.</w:t>
            </w:r>
          </w:p>
        </w:tc>
      </w:tr>
      <w:tr>
        <w:tc>
          <w:tcPr>
            <w:tcW w:type="dxa" w:w="2200"/>
            <w:shd w:fill="EDF1F8" w:val="clear"/>
          </w:tcPr>
          <w:p>
            <w:pPr>
              <w:spacing w:after="40"/>
            </w:pPr>
            <w:r>
              <w:rPr>
                <w:rFonts w:ascii="Consolas" w:cs="Consolas" w:eastAsia="Consolas" w:hAnsi="Consolas"/>
                <w:sz w:val="17"/>
                <w:szCs w:val="17"/>
              </w:rPr>
              <w:t xml:space="preserve">axiomI_null_kernel</w:t>
            </w:r>
          </w:p>
        </w:tc>
        <w:tc>
          <w:tcPr>
            <w:tcW w:type="dxa" w:w="1500"/>
            <w:shd w:fill="EDF1F8" w:val="clear"/>
          </w:tcPr>
          <w:p>
            <w:pPr>
              <w:spacing w:after="40"/>
            </w:pPr>
            <w:r>
              <w:rPr>
                <w:rFonts w:ascii="Georgia" w:cs="Georgia" w:eastAsia="Georgia" w:hAnsi="Georgia"/>
                <w:sz w:val="19"/>
                <w:szCs w:val="19"/>
              </w:rPr>
              <w:t xml:space="preserve">§4.1</w:t>
            </w:r>
          </w:p>
        </w:tc>
        <w:tc>
          <w:tcPr>
            <w:tcW w:type="dxa" w:w="5660"/>
            <w:shd w:fill="EDF1F8" w:val="clear"/>
          </w:tcPr>
          <w:p>
            <w:pPr>
              <w:spacing w:after="40"/>
            </w:pPr>
            <w:r>
              <w:rPr>
                <w:rFonts w:ascii="Georgia" w:cs="Georgia" w:eastAsia="Georgia" w:hAnsi="Georgia"/>
                <w:sz w:val="19"/>
                <w:szCs w:val="19"/>
              </w:rPr>
              <w:t xml:space="preserve">One non-viable subgraph nullifies global viability, regardless of all others (intersection form; zero axioms).</w:t>
            </w:r>
          </w:p>
        </w:tc>
      </w:tr>
      <w:tr>
        <w:tc>
          <w:tcPr>
            <w:tcW w:type="dxa" w:w="2200"/>
            <w:shd w:fill="FFFFFF" w:val="clear"/>
          </w:tcPr>
          <w:p>
            <w:pPr>
              <w:spacing w:after="40"/>
            </w:pPr>
            <w:r>
              <w:rPr>
                <w:rFonts w:ascii="Consolas" w:cs="Consolas" w:eastAsia="Consolas" w:hAnsi="Consolas"/>
                <w:sz w:val="17"/>
                <w:szCs w:val="17"/>
              </w:rPr>
              <w:t xml:space="preserve">axiomI_no_compensation</w:t>
            </w:r>
          </w:p>
        </w:tc>
        <w:tc>
          <w:tcPr>
            <w:tcW w:type="dxa" w:w="1500"/>
            <w:shd w:fill="FFFFFF" w:val="clear"/>
          </w:tcPr>
          <w:p>
            <w:pPr>
              <w:spacing w:after="40"/>
            </w:pPr>
            <w:r>
              <w:rPr>
                <w:rFonts w:ascii="Georgia" w:cs="Georgia" w:eastAsia="Georgia" w:hAnsi="Georgia"/>
                <w:sz w:val="19"/>
                <w:szCs w:val="19"/>
              </w:rPr>
              <w:t xml:space="preserve">§4.1</w:t>
            </w:r>
          </w:p>
        </w:tc>
        <w:tc>
          <w:tcPr>
            <w:tcW w:type="dxa" w:w="5660"/>
            <w:shd w:fill="FFFFFF" w:val="clear"/>
          </w:tcPr>
          <w:p>
            <w:pPr>
              <w:spacing w:after="40"/>
            </w:pPr>
            <w:r>
              <w:rPr>
                <w:rFonts w:ascii="Georgia" w:cs="Georgia" w:eastAsia="Georgia" w:hAnsi="Georgia"/>
                <w:sz w:val="19"/>
                <w:szCs w:val="19"/>
              </w:rPr>
              <w:t xml:space="preserve">Global viability certifies every subgraph individually (Rawlsian non-compensability as projection).</w:t>
            </w:r>
          </w:p>
        </w:tc>
      </w:tr>
      <w:tr>
        <w:tc>
          <w:tcPr>
            <w:tcW w:type="dxa" w:w="2200"/>
            <w:shd w:fill="EDF1F8" w:val="clear"/>
          </w:tcPr>
          <w:p>
            <w:pPr>
              <w:spacing w:after="40"/>
            </w:pPr>
            <w:r>
              <w:rPr>
                <w:rFonts w:ascii="Consolas" w:cs="Consolas" w:eastAsia="Consolas" w:hAnsi="Consolas"/>
                <w:sz w:val="17"/>
                <w:szCs w:val="17"/>
              </w:rPr>
              <w:t xml:space="preserve">null_kernel_product</w:t>
            </w:r>
          </w:p>
        </w:tc>
        <w:tc>
          <w:tcPr>
            <w:tcW w:type="dxa" w:w="1500"/>
            <w:shd w:fill="EDF1F8" w:val="clear"/>
          </w:tcPr>
          <w:p>
            <w:pPr>
              <w:spacing w:after="40"/>
            </w:pPr>
            <w:r>
              <w:rPr>
                <w:rFonts w:ascii="Georgia" w:cs="Georgia" w:eastAsia="Georgia" w:hAnsi="Georgia"/>
                <w:sz w:val="19"/>
                <w:szCs w:val="19"/>
              </w:rPr>
              <w:t xml:space="preserve">§4.1</w:t>
            </w:r>
          </w:p>
        </w:tc>
        <w:tc>
          <w:tcPr>
            <w:tcW w:type="dxa" w:w="5660"/>
            <w:shd w:fill="EDF1F8" w:val="clear"/>
          </w:tcPr>
          <w:p>
            <w:pPr>
              <w:spacing w:after="40"/>
            </w:pPr>
            <w:r>
              <w:rPr>
                <w:rFonts w:ascii="Georgia" w:cs="Georgia" w:eastAsia="Georgia" w:hAnsi="Georgia"/>
                <w:sz w:val="19"/>
                <w:szCs w:val="19"/>
              </w:rPr>
              <w:t xml:space="preserve">Product form: a zero anywhere forces the global signal to zero, for every prefix and suffix — “regardless” made formal.</w:t>
            </w:r>
          </w:p>
        </w:tc>
      </w:tr>
      <w:tr>
        <w:tc>
          <w:tcPr>
            <w:tcW w:type="dxa" w:w="2200"/>
            <w:shd w:fill="FFFFFF" w:val="clear"/>
          </w:tcPr>
          <w:p>
            <w:pPr>
              <w:spacing w:after="40"/>
            </w:pPr>
            <w:r>
              <w:rPr>
                <w:rFonts w:ascii="Consolas" w:cs="Consolas" w:eastAsia="Consolas" w:hAnsi="Consolas"/>
                <w:sz w:val="17"/>
                <w:szCs w:val="17"/>
              </w:rPr>
              <w:t xml:space="preserve">globalSignal_pos_iff</w:t>
            </w:r>
          </w:p>
        </w:tc>
        <w:tc>
          <w:tcPr>
            <w:tcW w:type="dxa" w:w="1500"/>
            <w:shd w:fill="FFFFFF" w:val="clear"/>
          </w:tcPr>
          <w:p>
            <w:pPr>
              <w:spacing w:after="40"/>
            </w:pPr>
            <w:r>
              <w:rPr>
                <w:rFonts w:ascii="Georgia" w:cs="Georgia" w:eastAsia="Georgia" w:hAnsi="Georgia"/>
                <w:sz w:val="19"/>
                <w:szCs w:val="19"/>
              </w:rPr>
              <w:t xml:space="preserve">§4.1</w:t>
            </w:r>
          </w:p>
        </w:tc>
        <w:tc>
          <w:tcPr>
            <w:tcW w:type="dxa" w:w="5660"/>
            <w:shd w:fill="FFFFFF" w:val="clear"/>
          </w:tcPr>
          <w:p>
            <w:pPr>
              <w:spacing w:after="40"/>
            </w:pPr>
            <w:r>
              <w:rPr>
                <w:rFonts w:ascii="Georgia" w:cs="Georgia" w:eastAsia="Georgia" w:hAnsi="Georgia"/>
                <w:sz w:val="19"/>
                <w:szCs w:val="19"/>
              </w:rPr>
              <w:t xml:space="preserve">The global signal is nonzero exactly when every subgraph signal is.</w:t>
            </w:r>
          </w:p>
        </w:tc>
      </w:tr>
      <w:tr>
        <w:tc>
          <w:tcPr>
            <w:tcW w:type="dxa" w:w="2200"/>
            <w:shd w:fill="EDF1F8" w:val="clear"/>
          </w:tcPr>
          <w:p>
            <w:pPr>
              <w:spacing w:after="40"/>
            </w:pPr>
            <w:r>
              <w:rPr>
                <w:rFonts w:ascii="Consolas" w:cs="Consolas" w:eastAsia="Consolas" w:hAnsi="Consolas"/>
                <w:sz w:val="17"/>
                <w:szCs w:val="17"/>
              </w:rPr>
              <w:t xml:space="preserve">sum_admits_masking</w:t>
            </w:r>
          </w:p>
        </w:tc>
        <w:tc>
          <w:tcPr>
            <w:tcW w:type="dxa" w:w="1500"/>
            <w:shd w:fill="EDF1F8" w:val="clear"/>
          </w:tcPr>
          <w:p>
            <w:pPr>
              <w:spacing w:after="40"/>
            </w:pPr>
            <w:r>
              <w:rPr>
                <w:rFonts w:ascii="Georgia" w:cs="Georgia" w:eastAsia="Georgia" w:hAnsi="Georgia"/>
                <w:sz w:val="19"/>
                <w:szCs w:val="19"/>
              </w:rPr>
              <w:t xml:space="preserve">§1.1</w:t>
            </w:r>
          </w:p>
        </w:tc>
        <w:tc>
          <w:tcPr>
            <w:tcW w:type="dxa" w:w="5660"/>
            <w:shd w:fill="EDF1F8" w:val="clear"/>
          </w:tcPr>
          <w:p>
            <w:pPr>
              <w:spacing w:after="40"/>
            </w:pPr>
            <w:r>
              <w:rPr>
                <w:rFonts w:ascii="Georgia" w:cs="Georgia" w:eastAsia="Georgia" w:hAnsi="Georgia"/>
                <w:sz w:val="19"/>
                <w:szCs w:val="19"/>
              </w:rPr>
              <w:t xml:space="preserve">Aggregation by sum provably admits the Korematsu Illusion (witness exhibited); by the preceding theorems, the product does not. The Illusion is a property of the aggregation operator.</w:t>
            </w:r>
          </w:p>
        </w:tc>
      </w:tr>
    </w:tbl>
    <w:p>
      <w:pPr>
        <w:spacing w:after="80" w:line="276"/>
      </w:pPr>
      <w:r>
        <w:rPr>
          <w:rFonts w:ascii="Georgia" w:cs="Georgia" w:eastAsia="Georgia" w:hAnsi="Georgia"/>
          <w:sz w:val="21"/>
          <w:szCs w:val="21"/>
        </w:rPr>
        <w:t xml:space="preserve"/>
      </w:r>
    </w:p>
    <w:p>
      <w:pPr>
        <w:pStyle w:val="Heading2"/>
        <w:spacing w:after="160" w:before="280"/>
      </w:pPr>
      <w:r>
        <w:rPr>
          <w:rFonts w:ascii="Georgia" w:cs="Georgia" w:eastAsia="Georgia" w:hAnsi="Georgia"/>
          <w:b/>
          <w:bCs/>
          <w:color w:val="2E5395"/>
          <w:sz w:val="24"/>
          <w:szCs w:val="24"/>
        </w:rPr>
        <w:t xml:space="preserve">E. Module 4 — Plain Language Output Layer: Register Invariance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5660"/>
      </w:tblGrid>
      <w:tr>
        <w:tc>
          <w:tcPr>
            <w:tcW w:type="dxa" w:w="2200"/>
            <w:shd w:fill="1F3864" w:val="clear"/>
          </w:tcPr>
          <w:p>
            <w:pPr>
              <w:spacing w:after="40"/>
            </w:pPr>
            <w:r>
              <w:rPr>
                <w:rFonts w:ascii="Georgia" w:cs="Georgia" w:eastAsia="Georgia" w:hAnsi="Georgia"/>
                <w:b/>
                <w:bCs/>
                <w:color w:val="FFFFFF"/>
                <w:sz w:val="19"/>
                <w:szCs w:val="19"/>
              </w:rPr>
              <w:t xml:space="preserve">Theorem</w:t>
            </w:r>
          </w:p>
        </w:tc>
        <w:tc>
          <w:tcPr>
            <w:tcW w:type="dxa" w:w="1500"/>
            <w:shd w:fill="1F3864" w:val="clear"/>
          </w:tcPr>
          <w:p>
            <w:pPr>
              <w:spacing w:after="40"/>
            </w:pPr>
            <w:r>
              <w:rPr>
                <w:rFonts w:ascii="Georgia" w:cs="Georgia" w:eastAsia="Georgia" w:hAnsi="Georgia"/>
                <w:b/>
                <w:bCs/>
                <w:color w:val="FFFFFF"/>
                <w:sz w:val="19"/>
                <w:szCs w:val="19"/>
              </w:rPr>
              <w:t xml:space="preserve">Spec</w:t>
            </w:r>
          </w:p>
        </w:tc>
        <w:tc>
          <w:tcPr>
            <w:tcW w:type="dxa" w:w="5660"/>
            <w:shd w:fill="1F3864" w:val="clear"/>
          </w:tcPr>
          <w:p>
            <w:pPr>
              <w:spacing w:after="40"/>
            </w:pPr>
            <w:r>
              <w:rPr>
                <w:rFonts w:ascii="Georgia" w:cs="Georgia" w:eastAsia="Georgia" w:hAnsi="Georgia"/>
                <w:b/>
                <w:bCs/>
                <w:color w:val="FFFFFF"/>
                <w:sz w:val="19"/>
                <w:szCs w:val="19"/>
              </w:rPr>
              <w:t xml:space="preserve">Verified guarantee</w:t>
            </w:r>
          </w:p>
        </w:tc>
      </w:tr>
      <w:tr>
        <w:tc>
          <w:tcPr>
            <w:tcW w:type="dxa" w:w="2200"/>
            <w:shd w:fill="EDF1F8" w:val="clear"/>
          </w:tcPr>
          <w:p>
            <w:pPr>
              <w:spacing w:after="40"/>
            </w:pPr>
            <w:r>
              <w:rPr>
                <w:rFonts w:ascii="Consolas" w:cs="Consolas" w:eastAsia="Consolas" w:hAnsi="Consolas"/>
                <w:sz w:val="17"/>
                <w:szCs w:val="17"/>
              </w:rPr>
              <w:t xml:space="preserve">hash_bridge_origin</w:t>
            </w:r>
          </w:p>
        </w:tc>
        <w:tc>
          <w:tcPr>
            <w:tcW w:type="dxa" w:w="1500"/>
            <w:shd w:fill="EDF1F8" w:val="clear"/>
          </w:tcPr>
          <w:p>
            <w:pPr>
              <w:spacing w:after="40"/>
            </w:pPr>
            <w:r>
              <w:rPr>
                <w:rFonts w:ascii="Georgia" w:cs="Georgia" w:eastAsia="Georgia" w:hAnsi="Georgia"/>
                <w:sz w:val="19"/>
                <w:szCs w:val="19"/>
              </w:rPr>
              <w:t xml:space="preserve">Comp. A Def. 5.3</w:t>
            </w:r>
          </w:p>
        </w:tc>
        <w:tc>
          <w:tcPr>
            <w:tcW w:type="dxa" w:w="5660"/>
            <w:shd w:fill="EDF1F8" w:val="clear"/>
          </w:tcPr>
          <w:p>
            <w:pPr>
              <w:spacing w:after="40"/>
            </w:pPr>
            <w:r>
              <w:rPr>
                <w:rFonts w:ascii="Georgia" w:cs="Georgia" w:eastAsia="Georgia" w:hAnsi="Georgia"/>
                <w:sz w:val="19"/>
                <w:szCs w:val="19"/>
              </w:rPr>
              <w:t xml:space="preserve">Equal digests identify a single classification event, under the stated collision-freeness hypothesis.</w:t>
            </w:r>
          </w:p>
        </w:tc>
      </w:tr>
      <w:tr>
        <w:tc>
          <w:tcPr>
            <w:tcW w:type="dxa" w:w="2200"/>
            <w:shd w:fill="FFFFFF" w:val="clear"/>
          </w:tcPr>
          <w:p>
            <w:pPr>
              <w:spacing w:after="40"/>
            </w:pPr>
            <w:r>
              <w:rPr>
                <w:rFonts w:ascii="Consolas" w:cs="Consolas" w:eastAsia="Consolas" w:hAnsi="Consolas"/>
                <w:sz w:val="17"/>
                <w:szCs w:val="17"/>
              </w:rPr>
              <w:t xml:space="preserve">tripartite_single_origin</w:t>
            </w:r>
          </w:p>
        </w:tc>
        <w:tc>
          <w:tcPr>
            <w:tcW w:type="dxa" w:w="1500"/>
            <w:shd w:fill="FFFFFF" w:val="clear"/>
          </w:tcPr>
          <w:p>
            <w:pPr>
              <w:spacing w:after="40"/>
            </w:pPr>
            <w:r>
              <w:rPr>
                <w:rFonts w:ascii="Georgia" w:cs="Georgia" w:eastAsia="Georgia" w:hAnsi="Georgia"/>
                <w:sz w:val="19"/>
                <w:szCs w:val="19"/>
              </w:rPr>
              <w:t xml:space="preserve">§19.4</w:t>
            </w:r>
          </w:p>
        </w:tc>
        <w:tc>
          <w:tcPr>
            <w:tcW w:type="dxa" w:w="5660"/>
            <w:shd w:fill="FFFFFF" w:val="clear"/>
          </w:tcPr>
          <w:p>
            <w:pPr>
              <w:spacing w:after="40"/>
            </w:pPr>
            <w:r>
              <w:rPr>
                <w:rFonts w:ascii="Georgia" w:cs="Georgia" w:eastAsia="Georgia" w:hAnsi="Georgia"/>
                <w:sz w:val="19"/>
                <w:szCs w:val="19"/>
              </w:rPr>
              <w:t xml:space="preserve">The three registers of a valid release carry one digest: one event, three voices.</w:t>
            </w:r>
          </w:p>
        </w:tc>
      </w:tr>
      <w:tr>
        <w:tc>
          <w:tcPr>
            <w:tcW w:type="dxa" w:w="2200"/>
            <w:shd w:fill="EDF1F8" w:val="clear"/>
          </w:tcPr>
          <w:p>
            <w:pPr>
              <w:spacing w:after="40"/>
            </w:pPr>
            <w:r>
              <w:rPr>
                <w:rFonts w:ascii="Consolas" w:cs="Consolas" w:eastAsia="Consolas" w:hAnsi="Consolas"/>
                <w:sz w:val="17"/>
                <w:szCs w:val="17"/>
              </w:rPr>
              <w:t xml:space="preserve">bridge_proves_origin_not_consistency</w:t>
            </w:r>
          </w:p>
        </w:tc>
        <w:tc>
          <w:tcPr>
            <w:tcW w:type="dxa" w:w="1500"/>
            <w:shd w:fill="EDF1F8" w:val="clear"/>
          </w:tcPr>
          <w:p>
            <w:pPr>
              <w:spacing w:after="40"/>
            </w:pPr>
            <w:r>
              <w:rPr>
                <w:rFonts w:ascii="Georgia" w:cs="Georgia" w:eastAsia="Georgia" w:hAnsi="Georgia"/>
                <w:sz w:val="19"/>
                <w:szCs w:val="19"/>
              </w:rPr>
              <w:t xml:space="preserve">§19.4.1</w:t>
            </w:r>
          </w:p>
        </w:tc>
        <w:tc>
          <w:tcPr>
            <w:tcW w:type="dxa" w:w="5660"/>
            <w:shd w:fill="EDF1F8" w:val="clear"/>
          </w:tcPr>
          <w:p>
            <w:pPr>
              <w:spacing w:after="40"/>
            </w:pPr>
            <w:r>
              <w:rPr>
                <w:rFonts w:ascii="Georgia" w:cs="Georgia" w:eastAsia="Georgia" w:hAnsi="Georgia"/>
                <w:sz w:val="19"/>
                <w:szCs w:val="19"/>
              </w:rPr>
              <w:t xml:space="preserve">The specification's own limitation, proved with a witness: records with equal digests and divergent content exist. The gap is type-theoretic, not cryptographic; no stronger hash closes it. Consistency must be a separate checkable relation — the Consistency Statement's formal justification.</w:t>
            </w:r>
          </w:p>
        </w:tc>
      </w:tr>
      <w:tr>
        <w:tc>
          <w:tcPr>
            <w:tcW w:type="dxa" w:w="2200"/>
            <w:shd w:fill="FFFFFF" w:val="clear"/>
          </w:tcPr>
          <w:p>
            <w:pPr>
              <w:spacing w:after="40"/>
            </w:pPr>
            <w:r>
              <w:rPr>
                <w:rFonts w:ascii="Consolas" w:cs="Consolas" w:eastAsia="Consolas" w:hAnsi="Consolas"/>
                <w:sz w:val="17"/>
                <w:szCs w:val="17"/>
              </w:rPr>
              <w:t xml:space="preserve">compliant_registers_agree</w:t>
            </w:r>
          </w:p>
        </w:tc>
        <w:tc>
          <w:tcPr>
            <w:tcW w:type="dxa" w:w="1500"/>
            <w:shd w:fill="FFFFFF" w:val="clear"/>
          </w:tcPr>
          <w:p>
            <w:pPr>
              <w:spacing w:after="40"/>
            </w:pPr>
            <w:r>
              <w:rPr>
                <w:rFonts w:ascii="Georgia" w:cs="Georgia" w:eastAsia="Georgia" w:hAnsi="Georgia"/>
                <w:sz w:val="19"/>
                <w:szCs w:val="19"/>
              </w:rPr>
              <w:t xml:space="preserve">App. B.4</w:t>
            </w:r>
          </w:p>
        </w:tc>
        <w:tc>
          <w:tcPr>
            <w:tcW w:type="dxa" w:w="5660"/>
            <w:shd w:fill="FFFFFF" w:val="clear"/>
          </w:tcPr>
          <w:p>
            <w:pPr>
              <w:spacing w:after="40"/>
            </w:pPr>
            <w:r>
              <w:rPr>
                <w:rFonts w:ascii="Georgia" w:cs="Georgia" w:eastAsia="Georgia" w:hAnsi="Georgia"/>
                <w:sz w:val="19"/>
                <w:szCs w:val="19"/>
              </w:rPr>
              <w:t xml:space="preserve">Two compliant registers agree exactly on the contestation-critical fragment.</w:t>
            </w:r>
          </w:p>
        </w:tc>
      </w:tr>
      <w:tr>
        <w:tc>
          <w:tcPr>
            <w:tcW w:type="dxa" w:w="2200"/>
            <w:shd w:fill="EDF1F8" w:val="clear"/>
          </w:tcPr>
          <w:p>
            <w:pPr>
              <w:spacing w:after="40"/>
            </w:pPr>
            <w:r>
              <w:rPr>
                <w:rFonts w:ascii="Consolas" w:cs="Consolas" w:eastAsia="Consolas" w:hAnsi="Consolas"/>
                <w:sz w:val="17"/>
                <w:szCs w:val="17"/>
              </w:rPr>
              <w:t xml:space="preserve">divergence_convicts</w:t>
            </w:r>
          </w:p>
        </w:tc>
        <w:tc>
          <w:tcPr>
            <w:tcW w:type="dxa" w:w="1500"/>
            <w:shd w:fill="EDF1F8" w:val="clear"/>
          </w:tcPr>
          <w:p>
            <w:pPr>
              <w:spacing w:after="40"/>
            </w:pPr>
            <w:r>
              <w:rPr>
                <w:rFonts w:ascii="Georgia" w:cs="Georgia" w:eastAsia="Georgia" w:hAnsi="Georgia"/>
                <w:sz w:val="19"/>
                <w:szCs w:val="19"/>
              </w:rPr>
              <w:t xml:space="preserve">App. B.4</w:t>
            </w:r>
          </w:p>
        </w:tc>
        <w:tc>
          <w:tcPr>
            <w:tcW w:type="dxa" w:w="5660"/>
            <w:shd w:fill="EDF1F8" w:val="clear"/>
          </w:tcPr>
          <w:p>
            <w:pPr>
              <w:spacing w:after="40"/>
            </w:pPr>
            <w:r>
              <w:rPr>
                <w:rFonts w:ascii="Georgia" w:cs="Georgia" w:eastAsia="Georgia" w:hAnsi="Georgia"/>
                <w:sz w:val="19"/>
                <w:szCs w:val="19"/>
              </w:rPr>
              <w:t xml:space="preserve">A critical claim absent from a register proves that register non-compliant: divergence is a conviction that names the guilty register, never an interpretive dispute.</w:t>
            </w:r>
          </w:p>
        </w:tc>
      </w:tr>
      <w:tr>
        <w:tc>
          <w:tcPr>
            <w:tcW w:type="dxa" w:w="2200"/>
            <w:shd w:fill="FFFFFF" w:val="clear"/>
          </w:tcPr>
          <w:p>
            <w:pPr>
              <w:spacing w:after="40"/>
            </w:pPr>
            <w:r>
              <w:rPr>
                <w:rFonts w:ascii="Consolas" w:cs="Consolas" w:eastAsia="Consolas" w:hAnsi="Consolas"/>
                <w:sz w:val="17"/>
                <w:szCs w:val="17"/>
              </w:rPr>
              <w:t xml:space="preserve">residual_divergence_harmless</w:t>
            </w:r>
          </w:p>
        </w:tc>
        <w:tc>
          <w:tcPr>
            <w:tcW w:type="dxa" w:w="1500"/>
            <w:shd w:fill="FFFFFF" w:val="clear"/>
          </w:tcPr>
          <w:p>
            <w:pPr>
              <w:spacing w:after="40"/>
            </w:pPr>
            <w:r>
              <w:rPr>
                <w:rFonts w:ascii="Georgia" w:cs="Georgia" w:eastAsia="Georgia" w:hAnsi="Georgia"/>
                <w:sz w:val="19"/>
                <w:szCs w:val="19"/>
              </w:rPr>
              <w:t xml:space="preserve">§19.4.1</w:t>
            </w:r>
          </w:p>
        </w:tc>
        <w:tc>
          <w:tcPr>
            <w:tcW w:type="dxa" w:w="5660"/>
            <w:shd w:fill="FFFFFF" w:val="clear"/>
          </w:tcPr>
          <w:p>
            <w:pPr>
              <w:spacing w:after="40"/>
            </w:pPr>
            <w:r>
              <w:rPr>
                <w:rFonts w:ascii="Georgia" w:cs="Georgia" w:eastAsia="Georgia" w:hAnsi="Georgia"/>
                <w:sz w:val="19"/>
                <w:szCs w:val="19"/>
              </w:rPr>
              <w:t xml:space="preserve">Under compliance, register differences are provably framing, never findings.</w:t>
            </w:r>
          </w:p>
        </w:tc>
      </w:tr>
      <w:tr>
        <w:tc>
          <w:tcPr>
            <w:tcW w:type="dxa" w:w="2200"/>
            <w:shd w:fill="EDF1F8" w:val="clear"/>
          </w:tcPr>
          <w:p>
            <w:pPr>
              <w:spacing w:after="40"/>
            </w:pPr>
            <w:r>
              <w:rPr>
                <w:rFonts w:ascii="Consolas" w:cs="Consolas" w:eastAsia="Consolas" w:hAnsi="Consolas"/>
                <w:sz w:val="17"/>
                <w:szCs w:val="17"/>
              </w:rPr>
              <w:t xml:space="preserve">no_hostage</w:t>
            </w:r>
          </w:p>
        </w:tc>
        <w:tc>
          <w:tcPr>
            <w:tcW w:type="dxa" w:w="1500"/>
            <w:shd w:fill="EDF1F8" w:val="clear"/>
          </w:tcPr>
          <w:p>
            <w:pPr>
              <w:spacing w:after="40"/>
            </w:pPr>
            <w:r>
              <w:rPr>
                <w:rFonts w:ascii="Georgia" w:cs="Georgia" w:eastAsia="Georgia" w:hAnsi="Georgia"/>
                <w:sz w:val="19"/>
                <w:szCs w:val="19"/>
              </w:rPr>
              <w:t xml:space="preserve">§19.4</w:t>
            </w:r>
          </w:p>
        </w:tc>
        <w:tc>
          <w:tcPr>
            <w:tcW w:type="dxa" w:w="5660"/>
            <w:shd w:fill="EDF1F8" w:val="clear"/>
          </w:tcPr>
          <w:p>
            <w:pPr>
              <w:spacing w:after="40"/>
            </w:pPr>
            <w:r>
              <w:rPr>
                <w:rFonts w:ascii="Georgia" w:cs="Georgia" w:eastAsia="Georgia" w:hAnsi="Georgia"/>
                <w:sz w:val="19"/>
                <w:szCs w:val="19"/>
              </w:rPr>
              <w:t xml:space="preserve">Every contestation-critical claim is public at hour zero: contestation never waits on the T+30d litigation track.</w:t>
            </w:r>
          </w:p>
        </w:tc>
      </w:tr>
      <w:tr>
        <w:tc>
          <w:tcPr>
            <w:tcW w:type="dxa" w:w="2200"/>
            <w:shd w:fill="FFFFFF" w:val="clear"/>
          </w:tcPr>
          <w:p>
            <w:pPr>
              <w:spacing w:after="40"/>
            </w:pPr>
            <w:r>
              <w:rPr>
                <w:rFonts w:ascii="Consolas" w:cs="Consolas" w:eastAsia="Consolas" w:hAnsi="Consolas"/>
                <w:sz w:val="17"/>
                <w:szCs w:val="17"/>
              </w:rPr>
              <w:t xml:space="preserve">contestability_at_breach</w:t>
            </w:r>
          </w:p>
        </w:tc>
        <w:tc>
          <w:tcPr>
            <w:tcW w:type="dxa" w:w="1500"/>
            <w:shd w:fill="FFFFFF" w:val="clear"/>
          </w:tcPr>
          <w:p>
            <w:pPr>
              <w:spacing w:after="40"/>
            </w:pPr>
            <w:r>
              <w:rPr>
                <w:rFonts w:ascii="Georgia" w:cs="Georgia" w:eastAsia="Georgia" w:hAnsi="Georgia"/>
                <w:sz w:val="19"/>
                <w:szCs w:val="19"/>
              </w:rPr>
              <w:t xml:space="preserve">App. B.2</w:t>
            </w:r>
          </w:p>
        </w:tc>
        <w:tc>
          <w:tcPr>
            <w:tcW w:type="dxa" w:w="5660"/>
            <w:shd w:fill="FFFFFF" w:val="clear"/>
          </w:tcPr>
          <w:p>
            <w:pPr>
              <w:spacing w:after="40"/>
            </w:pPr>
            <w:r>
              <w:rPr>
                <w:rFonts w:ascii="Georgia" w:cs="Georgia" w:eastAsia="Georgia" w:hAnsi="Georgia"/>
                <w:sz w:val="19"/>
                <w:szCs w:val="19"/>
              </w:rPr>
              <w:t xml:space="preserve">The falsification condition ships in the T+0 record: the key ships with the lock.</w:t>
            </w:r>
          </w:p>
        </w:tc>
      </w:tr>
      <w:tr>
        <w:tc>
          <w:tcPr>
            <w:tcW w:type="dxa" w:w="2200"/>
            <w:shd w:fill="EDF1F8" w:val="clear"/>
          </w:tcPr>
          <w:p>
            <w:pPr>
              <w:spacing w:after="40"/>
            </w:pPr>
            <w:r>
              <w:rPr>
                <w:rFonts w:ascii="Consolas" w:cs="Consolas" w:eastAsia="Consolas" w:hAnsi="Consolas"/>
                <w:sz w:val="17"/>
                <w:szCs w:val="17"/>
              </w:rPr>
              <w:t xml:space="preserve">decCompliant</w:t>
            </w:r>
          </w:p>
        </w:tc>
        <w:tc>
          <w:tcPr>
            <w:tcW w:type="dxa" w:w="1500"/>
            <w:shd w:fill="EDF1F8" w:val="clear"/>
          </w:tcPr>
          <w:p>
            <w:pPr>
              <w:spacing w:after="40"/>
            </w:pPr>
            <w:r>
              <w:rPr>
                <w:rFonts w:ascii="Georgia" w:cs="Georgia" w:eastAsia="Georgia" w:hAnsi="Georgia"/>
                <w:sz w:val="19"/>
                <w:szCs w:val="19"/>
              </w:rPr>
              <w:t xml:space="preserve">App. B.4</w:t>
            </w:r>
          </w:p>
        </w:tc>
        <w:tc>
          <w:tcPr>
            <w:tcW w:type="dxa" w:w="5660"/>
            <w:shd w:fill="EDF1F8" w:val="clear"/>
          </w:tcPr>
          <w:p>
            <w:pPr>
              <w:spacing w:after="40"/>
            </w:pPr>
            <w:r>
              <w:rPr>
                <w:rFonts w:ascii="Georgia" w:cs="Georgia" w:eastAsia="Georgia" w:hAnsi="Georgia"/>
                <w:sz w:val="19"/>
                <w:szCs w:val="19"/>
              </w:rPr>
              <w:t xml:space="preserve">Compliance is decidable: given extracted claim sets, the divergence audit is mechanical, requiring no expertise and no discretion.</w:t>
            </w:r>
          </w:p>
        </w:tc>
      </w:tr>
    </w:tbl>
    <w:p>
      <w:pPr>
        <w:spacing w:after="80" w:line="276"/>
      </w:pPr>
      <w:r>
        <w:rPr>
          <w:rFonts w:ascii="Georgia" w:cs="Georgia" w:eastAsia="Georgia" w:hAnsi="Georgia"/>
          <w:sz w:val="21"/>
          <w:szCs w:val="21"/>
        </w:rPr>
        <w:t xml:space="preserve"/>
      </w:r>
    </w:p>
    <w:p>
      <w:pPr>
        <w:pStyle w:val="Heading2"/>
        <w:spacing w:after="160" w:before="280"/>
      </w:pPr>
      <w:r>
        <w:rPr>
          <w:rFonts w:ascii="Georgia" w:cs="Georgia" w:eastAsia="Georgia" w:hAnsi="Georgia"/>
          <w:b/>
          <w:bCs/>
          <w:color w:val="2E5395"/>
          <w:sz w:val="24"/>
          <w:szCs w:val="24"/>
        </w:rPr>
        <w:t xml:space="preserve">F. Modeling disclosures — the contestation targets</w:t>
      </w:r>
    </w:p>
    <w:p>
      <w:pPr>
        <w:spacing w:after="160" w:line="276"/>
      </w:pPr>
      <w:r>
        <w:rPr>
          <w:rFonts w:ascii="Georgia" w:cs="Georgia" w:eastAsia="Georgia" w:hAnsi="Georgia"/>
          <w:sz w:val="21"/>
          <w:szCs w:val="21"/>
        </w:rPr>
        <w:t xml:space="preserve">Per the framework's norm of separating the contestable normative layer from the formal one, every translation choice from specification English into mathematics is listed here and restated in the header of its module. These, not the proofs, are the right places to aim review.</w:t>
      </w:r>
    </w:p>
    <w:p>
      <w:pPr>
        <w:pStyle w:val="ListParagraph"/>
        <w:numPr>
          <w:ilvl w:val="0"/>
          <w:numId w:val="2"/>
        </w:numPr>
        <w:spacing w:after="160" w:line="276"/>
      </w:pPr>
      <w:r>
        <w:rPr>
          <w:rFonts w:ascii="Georgia" w:cs="Georgia" w:eastAsia="Georgia" w:hAnsi="Georgia"/>
          <w:sz w:val="21"/>
          <w:szCs w:val="21"/>
        </w:rPr>
        <w:t xml:space="preserve">Time is discretized: hours for the PIO machine, days for the Crisis Cap trace. The 72h and 180-day/24-month constants are taken from the specification.</w:t>
      </w:r>
    </w:p>
    <w:p>
      <w:pPr>
        <w:pStyle w:val="ListParagraph"/>
        <w:numPr>
          <w:ilvl w:val="0"/>
          <w:numId w:val="2"/>
        </w:numPr>
        <w:spacing w:after="160" w:line="276"/>
      </w:pPr>
      <w:r>
        <w:rPr>
          <w:rFonts w:ascii="Georgia" w:cs="Georgia" w:eastAsia="Georgia" w:hAnsi="Georgia"/>
          <w:sz w:val="21"/>
          <w:szCs w:val="21"/>
        </w:rPr>
        <w:t xml:space="preserve">The Crisis Cap renewal condition is read strictly: a new emergency day is authorized only if, including that day, the window holds at most T_cap emergency days. The specification's phrase “active more than T_cap days” admits an off-by-one reading; the conservative reading is taken.</w:t>
      </w:r>
    </w:p>
    <w:p>
      <w:pPr>
        <w:pStyle w:val="ListParagraph"/>
        <w:numPr>
          <w:ilvl w:val="0"/>
          <w:numId w:val="2"/>
        </w:numPr>
        <w:spacing w:after="160" w:line="276"/>
      </w:pPr>
      <w:r>
        <w:rPr>
          <w:rFonts w:ascii="Georgia" w:cs="Georgia" w:eastAsia="Georgia" w:hAnsi="Georgia"/>
          <w:sz w:val="21"/>
          <w:szCs w:val="21"/>
        </w:rPr>
        <w:t xml:space="preserve">M3 (node-level sanctions) is treated as the irreversibility-bearing mechanism the tier structure gates; M1, M2, and M4 are modeled reversible per §5.4's language.</w:t>
      </w:r>
    </w:p>
    <w:p>
      <w:pPr>
        <w:pStyle w:val="ListParagraph"/>
        <w:numPr>
          <w:ilvl w:val="0"/>
          <w:numId w:val="2"/>
        </w:numPr>
        <w:spacing w:after="160" w:line="276"/>
      </w:pPr>
      <w:r>
        <w:rPr>
          <w:rFonts w:ascii="Georgia" w:cs="Georgia" w:eastAsia="Georgia" w:hAnsi="Georgia"/>
          <w:sz w:val="21"/>
          <w:szCs w:val="21"/>
        </w:rPr>
        <w:t xml:space="preserve">A “median-type statistic” is characterized by its counting property (at least ⌈m/2⌉ readings on each side) rather than by order statistics; the theorems therefore cover the median and anything median-like.</w:t>
      </w:r>
    </w:p>
    <w:p>
      <w:pPr>
        <w:pStyle w:val="ListParagraph"/>
        <w:numPr>
          <w:ilvl w:val="0"/>
          <w:numId w:val="2"/>
        </w:numPr>
        <w:spacing w:after="160" w:line="276"/>
      </w:pPr>
      <w:r>
        <w:rPr>
          <w:rFonts w:ascii="Georgia" w:cs="Georgia" w:eastAsia="Georgia" w:hAnsi="Georgia"/>
          <w:sz w:val="21"/>
          <w:szCs w:val="21"/>
        </w:rPr>
        <w:t xml:space="preserve">Sensor honesty is a ghost variable — ground truth the running system cannot observe — which is why the Byzantine theorems quantify over all placements of at most f corrupted sensors.</w:t>
      </w:r>
    </w:p>
    <w:p>
      <w:pPr>
        <w:pStyle w:val="ListParagraph"/>
        <w:numPr>
          <w:ilvl w:val="0"/>
          <w:numId w:val="2"/>
        </w:numPr>
        <w:spacing w:after="160" w:line="276"/>
      </w:pPr>
      <w:r>
        <w:rPr>
          <w:rFonts w:ascii="Georgia" w:cs="Georgia" w:eastAsia="Georgia" w:hAnsi="Georgia"/>
          <w:sz w:val="21"/>
          <w:szCs w:val="21"/>
        </w:rPr>
        <w:t xml:space="preserve">Collision-freeness of the digest function is a cryptographic assumption, carried as an explicit hypothesis (a field of HashScheme), never as a fact.</w:t>
      </w:r>
    </w:p>
    <w:p>
      <w:pPr>
        <w:pStyle w:val="ListParagraph"/>
        <w:numPr>
          <w:ilvl w:val="0"/>
          <w:numId w:val="2"/>
        </w:numPr>
        <w:spacing w:after="160" w:line="276"/>
      </w:pPr>
      <w:r>
        <w:rPr>
          <w:rFonts w:ascii="Georgia" w:cs="Georgia" w:eastAsia="Georgia" w:hAnsi="Georgia"/>
          <w:sz w:val="21"/>
          <w:szCs w:val="21"/>
        </w:rPr>
        <w:t xml:space="preserve">Constitutive constraints are structure fields: the hysteresis gap, T_cap &lt; W, the m &gt; 2f+1 quorum, and the tripartite sequencing windows are proof obligations, so degenerate parameterizations are unconstructible rather than merely invalid.</w:t>
      </w:r>
    </w:p>
    <w:p>
      <w:pPr>
        <w:pStyle w:val="Heading2"/>
        <w:spacing w:after="160" w:before="280"/>
      </w:pPr>
      <w:r>
        <w:rPr>
          <w:rFonts w:ascii="Georgia" w:cs="Georgia" w:eastAsia="Georgia" w:hAnsi="Georgia"/>
          <w:b/>
          <w:bCs/>
          <w:color w:val="2E5395"/>
          <w:sz w:val="24"/>
          <w:szCs w:val="24"/>
        </w:rPr>
        <w:t xml:space="preserve">G. What is not verified, and why</w:t>
      </w:r>
    </w:p>
    <w:p>
      <w:pPr>
        <w:spacing w:after="160" w:line="276"/>
      </w:pPr>
      <w:r>
        <w:rPr>
          <w:rFonts w:ascii="Georgia" w:cs="Georgia" w:eastAsia="Georgia" w:hAnsi="Georgia"/>
          <w:sz w:val="21"/>
          <w:szCs w:val="21"/>
        </w:rPr>
        <w:t xml:space="preserve">The statistical layer — three-stage causal identification (§5.5), synthetic control validity, capture-rate estimation — is not Lean-shaped; its verification instrument is pre-registration and blind historical validation (OP.4, Companion B). Viability-kernel dynamics over continuous state spaces are the province of viability theory. Sensor independence is an institutional achievement (OP.1), assumed here as the ≤ f fault bound. And the relation between a natural-language text and the claim set it expresses — the seam — is formally unverifiable by construction: all trust in the architecture is consumed at claim extraction, none after it, and extraction belongs to Layer 0. The kernel's contribution to that division of labor is to prove that everything after extraction is mechanical (decCompliant) and that divergence, once visible, convicts (divergence_convicts).</w:t>
      </w:r>
    </w:p>
    <w:p>
      <w:pPr>
        <w:pStyle w:val="Heading2"/>
        <w:spacing w:after="160" w:before="280"/>
      </w:pPr>
      <w:r>
        <w:rPr>
          <w:rFonts w:ascii="Georgia" w:cs="Georgia" w:eastAsia="Georgia" w:hAnsi="Georgia"/>
          <w:b/>
          <w:bCs/>
          <w:color w:val="2E5395"/>
          <w:sz w:val="24"/>
          <w:szCs w:val="24"/>
        </w:rPr>
        <w:t xml:space="preserve">H. Reproduction</w:t>
      </w:r>
    </w:p>
    <w:p>
      <w:pPr>
        <w:spacing w:after="160" w:line="276"/>
      </w:pPr>
      <w:r>
        <w:rPr>
          <w:rFonts w:ascii="Georgia" w:cs="Georgia" w:eastAsia="Georgia" w:hAnsi="Georgia"/>
          <w:sz w:val="21"/>
          <w:szCs w:val="21"/>
        </w:rPr>
        <w:t xml:space="preserve">Requirements: any machine with elan (the Lean toolchain manager). Then:</w:t>
      </w:r>
    </w:p>
    <w:p>
      <w:pPr>
        <w:shd w:fill="F2F2F2" w:val="clear"/>
        <w:spacing w:after="60"/>
      </w:pPr>
      <w:r>
        <w:rPr>
          <w:rFonts w:ascii="Consolas" w:cs="Consolas" w:eastAsia="Consolas" w:hAnsi="Consolas"/>
          <w:sz w:val="18"/>
          <w:szCs w:val="18"/>
        </w:rPr>
        <w:t xml:space="preserve">unzip ahc-verified-kernel.zip &amp;&amp; cd ahc-verified-kernel</w:t>
      </w:r>
    </w:p>
    <w:p>
      <w:pPr>
        <w:shd w:fill="F2F2F2" w:val="clear"/>
        <w:spacing w:after="60"/>
      </w:pPr>
      <w:r>
        <w:rPr>
          <w:rFonts w:ascii="Consolas" w:cs="Consolas" w:eastAsia="Consolas" w:hAnsi="Consolas"/>
          <w:sz w:val="18"/>
          <w:szCs w:val="18"/>
        </w:rPr>
        <w:t xml:space="preserve">lake build</w:t>
      </w:r>
    </w:p>
    <w:p>
      <w:pPr>
        <w:spacing w:after="80" w:line="276"/>
      </w:pPr>
      <w:r>
        <w:rPr>
          <w:rFonts w:ascii="Georgia" w:cs="Georgia" w:eastAsia="Georgia" w:hAnsi="Georgia"/>
          <w:sz w:val="21"/>
          <w:szCs w:val="21"/>
        </w:rPr>
        <w:t xml:space="preserve">The build elaborates every proof and prints the axiom audit to the log. A missing or broken proof fails the build; a placeholder would surface as the sorryAx axiom in the audit output. Expected audit result: every theorem at most [propext, Quot.sound]; never Classical.choice; the 13 structural theorems of Modules 1–3 named in the README, and all nine Module 4 theorems, depend on no axioms at all. A continuous-integration workflow is included that re-runs this check on every change and fails on any sorry.</w:t>
      </w:r>
    </w:p>
    <w:p>
      <w:r>
        <w:br w:type="page"/>
      </w:r>
    </w:p>
    <w:p>
      <w:pPr>
        <w:pStyle w:val="Heading1"/>
        <w:spacing w:after="200" w:before="360"/>
      </w:pPr>
      <w:r>
        <w:rPr>
          <w:rFonts w:ascii="Georgia" w:cs="Georgia" w:eastAsia="Georgia" w:hAnsi="Georgia"/>
          <w:b/>
          <w:bCs/>
          <w:color w:val="1F3864"/>
          <w:sz w:val="30"/>
          <w:szCs w:val="30"/>
        </w:rPr>
        <w:t xml:space="preserve">Part III — Phase 1 Reviewer Brief</w:t>
      </w:r>
    </w:p>
    <w:p>
      <w:pPr>
        <w:spacing w:after="160" w:line="276"/>
      </w:pPr>
      <w:r>
        <w:rPr>
          <w:rFonts w:ascii="Georgia" w:cs="Georgia" w:eastAsia="Georgia" w:hAnsi="Georgia"/>
          <w:sz w:val="21"/>
          <w:szCs w:val="21"/>
        </w:rPr>
        <w:t xml:space="preserve">Companion A Principle 19.2 holds that further specification must follow, not precede, external review. This artifact complies: it introduces no new mechanism. What it introduces is a new kind of reviewable surface — the translation between constitutional English and formal mathematics — and this brief solicits attack on exactly that surface. Findings at any of the following addresses are the intended product of circulation.</w:t>
      </w:r>
    </w:p>
    <w:p>
      <w:pPr>
        <w:pStyle w:val="Heading2"/>
        <w:spacing w:after="160" w:before="280"/>
      </w:pPr>
      <w:r>
        <w:rPr>
          <w:rFonts w:ascii="Georgia" w:cs="Georgia" w:eastAsia="Georgia" w:hAnsi="Georgia"/>
          <w:b/>
          <w:bCs/>
          <w:color w:val="2E5395"/>
          <w:sz w:val="24"/>
          <w:szCs w:val="24"/>
        </w:rPr>
        <w:t xml:space="preserve">For formal-methods reviewers</w:t>
      </w:r>
    </w:p>
    <w:p>
      <w:pPr>
        <w:pStyle w:val="ListParagraph"/>
        <w:numPr>
          <w:ilvl w:val="0"/>
          <w:numId w:val="2"/>
        </w:numPr>
        <w:spacing w:after="160" w:line="276"/>
      </w:pPr>
      <w:r>
        <w:rPr>
          <w:rFonts w:ascii="Georgia" w:cs="Georgia" w:eastAsia="Georgia" w:hAnsi="Georgia"/>
          <w:sz w:val="21"/>
          <w:szCs w:val="21"/>
        </w:rPr>
        <w:t xml:space="preserve">F-1 (Faithfulness). For each modeling disclosure in Part II.F: does the formal reading weaken or strengthen the specification's intent? The strongest possible finding is a behavior that satisfies the Lean model while violating the English, or vice versa.</w:t>
      </w:r>
    </w:p>
    <w:p>
      <w:pPr>
        <w:pStyle w:val="ListParagraph"/>
        <w:numPr>
          <w:ilvl w:val="0"/>
          <w:numId w:val="2"/>
        </w:numPr>
        <w:spacing w:after="160" w:line="276"/>
      </w:pPr>
      <w:r>
        <w:rPr>
          <w:rFonts w:ascii="Georgia" w:cs="Georgia" w:eastAsia="Georgia" w:hAnsi="Georgia"/>
          <w:sz w:val="21"/>
          <w:szCs w:val="21"/>
        </w:rPr>
        <w:t xml:space="preserve">F-2 (Adequacy of the trace semantics). The Crisis Cap models authorization history as a Boolean trace with a validity inductive. Does this semantics admit any gaming path — e.g., through the interaction of the per-day condition with the Structural Review automaton — that the integrated spec would forbid?</w:t>
      </w:r>
    </w:p>
    <w:p>
      <w:pPr>
        <w:pStyle w:val="ListParagraph"/>
        <w:numPr>
          <w:ilvl w:val="0"/>
          <w:numId w:val="2"/>
        </w:numPr>
        <w:spacing w:after="160" w:line="276"/>
      </w:pPr>
      <w:r>
        <w:rPr>
          <w:rFonts w:ascii="Georgia" w:cs="Georgia" w:eastAsia="Georgia" w:hAnsi="Georgia"/>
          <w:sz w:val="21"/>
          <w:szCs w:val="21"/>
        </w:rPr>
        <w:t xml:space="preserve">F-3 (PIO discretization). The 72-hour review is modeled as 72 hourly steps with a confirm/no-confirm input. Is any spec-relevant behavior (e.g., confirmation arriving mid-hour, concurrent PIOs for one subgraph) lost in discretization?</w:t>
      </w:r>
    </w:p>
    <w:p>
      <w:pPr>
        <w:pStyle w:val="ListParagraph"/>
        <w:numPr>
          <w:ilvl w:val="0"/>
          <w:numId w:val="2"/>
        </w:numPr>
        <w:spacing w:after="160" w:line="276"/>
      </w:pPr>
      <w:r>
        <w:rPr>
          <w:rFonts w:ascii="Georgia" w:cs="Georgia" w:eastAsia="Georgia" w:hAnsi="Georgia"/>
          <w:sz w:val="21"/>
          <w:szCs w:val="21"/>
        </w:rPr>
        <w:t xml:space="preserve">F-4 (Strengthening candidates). Which currently-unverified sentences of §5.4, §12.3, §19.4, or Appendix B are order-theoretic enough to join the kernel — and would their formalization survive Principle 19.2?</w:t>
      </w:r>
    </w:p>
    <w:p>
      <w:pPr>
        <w:pStyle w:val="Heading2"/>
        <w:spacing w:after="160" w:before="280"/>
      </w:pPr>
      <w:r>
        <w:rPr>
          <w:rFonts w:ascii="Georgia" w:cs="Georgia" w:eastAsia="Georgia" w:hAnsi="Georgia"/>
          <w:b/>
          <w:bCs/>
          <w:color w:val="2E5395"/>
          <w:sz w:val="24"/>
          <w:szCs w:val="24"/>
        </w:rPr>
        <w:t xml:space="preserve">For constitutional and domain reviewers</w:t>
      </w:r>
    </w:p>
    <w:p>
      <w:pPr>
        <w:pStyle w:val="ListParagraph"/>
        <w:numPr>
          <w:ilvl w:val="0"/>
          <w:numId w:val="2"/>
        </w:numPr>
        <w:spacing w:after="160" w:line="276"/>
      </w:pPr>
      <w:r>
        <w:rPr>
          <w:rFonts w:ascii="Georgia" w:cs="Georgia" w:eastAsia="Georgia" w:hAnsi="Georgia"/>
          <w:sz w:val="21"/>
          <w:szCs w:val="21"/>
        </w:rPr>
        <w:t xml:space="preserve">D-1 (Coverage). For each module: do the named theorems exhaust the constitutional intent of their sections, or is there a load-bearing guarantee in the English that the theorem set silently omits?</w:t>
      </w:r>
    </w:p>
    <w:p>
      <w:pPr>
        <w:pStyle w:val="ListParagraph"/>
        <w:numPr>
          <w:ilvl w:val="0"/>
          <w:numId w:val="2"/>
        </w:numPr>
        <w:spacing w:after="160" w:line="276"/>
      </w:pPr>
      <w:r>
        <w:rPr>
          <w:rFonts w:ascii="Georgia" w:cs="Georgia" w:eastAsia="Georgia" w:hAnsi="Georgia"/>
          <w:sz w:val="21"/>
          <w:szCs w:val="21"/>
        </w:rPr>
        <w:t xml:space="preserve">D-2 (The M3 classification). Module 1 treats M3 as the sole irreversibility-bearing mechanism. Is graduated capital routing (M1) or selective severance (M2) irreversible in any deployment scenario the spec intends to cover? If so, the requiredTier table — one line of Lean — is the amendment site.</w:t>
      </w:r>
    </w:p>
    <w:p>
      <w:pPr>
        <w:pStyle w:val="ListParagraph"/>
        <w:numPr>
          <w:ilvl w:val="0"/>
          <w:numId w:val="2"/>
        </w:numPr>
        <w:spacing w:after="160" w:line="276"/>
      </w:pPr>
      <w:r>
        <w:rPr>
          <w:rFonts w:ascii="Georgia" w:cs="Georgia" w:eastAsia="Georgia" w:hAnsi="Georgia"/>
          <w:sz w:val="21"/>
          <w:szCs w:val="21"/>
        </w:rPr>
        <w:t xml:space="preserve">D-3 (Window semantics). Does the strict reading of the Crisis Cap renewal condition (Part II.F) match §10.3's intent, or should the off-by-one alternative be adopted and re-verified?</w:t>
      </w:r>
    </w:p>
    <w:p>
      <w:pPr>
        <w:pStyle w:val="ListParagraph"/>
        <w:numPr>
          <w:ilvl w:val="0"/>
          <w:numId w:val="2"/>
        </w:numPr>
        <w:spacing w:after="160" w:line="276"/>
      </w:pPr>
      <w:r>
        <w:rPr>
          <w:rFonts w:ascii="Georgia" w:cs="Georgia" w:eastAsia="Georgia" w:hAnsi="Georgia"/>
          <w:sz w:val="21"/>
          <w:szCs w:val="21"/>
        </w:rPr>
        <w:t xml:space="preserve">D-4 (Robust statistics). The ATG's threshold derivation is protected for median-type statistics. If deployment uses trimmed means or other estimators, their counting properties should be stated and the bracketing theorem re-derived.</w:t>
      </w:r>
    </w:p>
    <w:p>
      <w:pPr>
        <w:pStyle w:val="Heading2"/>
        <w:spacing w:after="160" w:before="280"/>
      </w:pPr>
      <w:r>
        <w:rPr>
          <w:rFonts w:ascii="Georgia" w:cs="Georgia" w:eastAsia="Georgia" w:hAnsi="Georgia"/>
          <w:b/>
          <w:bCs/>
          <w:color w:val="2E5395"/>
          <w:sz w:val="24"/>
          <w:szCs w:val="24"/>
        </w:rPr>
        <w:t xml:space="preserve">For community and legibility reviewers</w:t>
      </w:r>
    </w:p>
    <w:p>
      <w:pPr>
        <w:pStyle w:val="ListParagraph"/>
        <w:numPr>
          <w:ilvl w:val="0"/>
          <w:numId w:val="2"/>
        </w:numPr>
        <w:spacing w:after="160" w:line="276"/>
      </w:pPr>
      <w:r>
        <w:rPr>
          <w:rFonts w:ascii="Georgia" w:cs="Georgia" w:eastAsia="Georgia" w:hAnsi="Georgia"/>
          <w:sz w:val="21"/>
          <w:szCs w:val="21"/>
        </w:rPr>
        <w:t xml:space="preserve">L-1 (Reflexive compliance). Part I of this document claims PLOL conformance for the kernel itself. Audit it against Appendix B.2's field list: is anything a community reviewer needs missing, and does the falsification pathway in Part I actually function for a non-expert with the Community Statistical Support Fund's resources?</w:t>
      </w:r>
    </w:p>
    <w:p>
      <w:pPr>
        <w:pStyle w:val="ListParagraph"/>
        <w:numPr>
          <w:ilvl w:val="0"/>
          <w:numId w:val="2"/>
        </w:numPr>
        <w:spacing w:after="160" w:line="276"/>
      </w:pPr>
      <w:r>
        <w:rPr>
          <w:rFonts w:ascii="Georgia" w:cs="Georgia" w:eastAsia="Georgia" w:hAnsi="Georgia"/>
          <w:sz w:val="21"/>
          <w:szCs w:val="21"/>
        </w:rPr>
        <w:t xml:space="preserve">L-2 (The seam's placement). Module 4 locates all human judgment at claim extraction and proves everything downstream mechanical. Is that placement right — or does it quietly relocate expert burden onto communities at the extraction step, reproducing the lock-without-key pattern one level up?</w:t>
      </w:r>
    </w:p>
    <w:p>
      <w:pPr>
        <w:pStyle w:val="ListParagraph"/>
        <w:numPr>
          <w:ilvl w:val="0"/>
          <w:numId w:val="2"/>
        </w:numPr>
        <w:spacing w:after="160" w:line="276"/>
      </w:pPr>
      <w:r>
        <w:rPr>
          <w:rFonts w:ascii="Georgia" w:cs="Georgia" w:eastAsia="Georgia" w:hAnsi="Georgia"/>
          <w:sz w:val="21"/>
          <w:szCs w:val="21"/>
        </w:rPr>
        <w:t xml:space="preserve">L-3 (Decidability in practice). decCompliant proves the divergence audit needs no discretion given claim sets. What tooling, staffing, or Fund provision does Layer 0 need for extraction itself, and should that be specified — after review — as an Appendix B field?</w:t>
      </w:r>
    </w:p>
    <w:p>
      <w:pPr>
        <w:pStyle w:val="Heading2"/>
        <w:spacing w:after="160" w:before="280"/>
      </w:pPr>
      <w:r>
        <w:rPr>
          <w:rFonts w:ascii="Georgia" w:cs="Georgia" w:eastAsia="Georgia" w:hAnsi="Georgia"/>
          <w:b/>
          <w:bCs/>
          <w:color w:val="2E5395"/>
          <w:sz w:val="24"/>
          <w:szCs w:val="24"/>
        </w:rPr>
        <w:t xml:space="preserve">Disposition of findings</w:t>
      </w:r>
    </w:p>
    <w:p>
      <w:pPr>
        <w:spacing w:after="160" w:line="276"/>
      </w:pPr>
      <w:r>
        <w:rPr>
          <w:rFonts w:ascii="Georgia" w:cs="Georgia" w:eastAsia="Georgia" w:hAnsi="Georgia"/>
          <w:sz w:val="21"/>
          <w:szCs w:val="21"/>
        </w:rPr>
        <w:t xml:space="preserve">Findings against proofs (F-class) invalidate specific theorems and are corrected in the kernel. Findings against modeling choices (F-1, D-2, D-3, D-4) are constitutional interpretation questions and route to the specification's own amendment processes; the kernel then re-verifies the amended reading. Findings against the seam's placement (L-2, L-3) route to the Open Problems Register (H.1). In all three cases the artifact's function is the same: it converts disagreement about what the constitution means into a precise, checkable object — which is what a formal layer is for.</w:t>
      </w:r>
    </w:p>
    <w:p>
      <w:pPr>
        <w:spacing w:after="200" w:line="276"/>
      </w:pPr>
      <w:r>
        <w:rPr>
          <w:rFonts w:ascii="Georgia" w:cs="Georgia" w:eastAsia="Georgia" w:hAnsi="Georgia"/>
          <w:sz w:val="21"/>
          <w:szCs w:val="21"/>
        </w:rPr>
        <w:t xml:space="preserve"/>
      </w:r>
    </w:p>
    <w:p>
      <w:pPr>
        <w:spacing w:after="160" w:line="276"/>
        <w:jc w:val="center"/>
      </w:pPr>
      <w:r>
        <w:rPr>
          <w:rFonts w:ascii="Georgia" w:cs="Georgia" w:eastAsia="Georgia" w:hAnsi="Georgia"/>
          <w:i/>
          <w:iCs/>
          <w:color w:val="555555"/>
          <w:sz w:val="21"/>
          <w:szCs w:val="21"/>
        </w:rPr>
        <w:t xml:space="preserve">— End of circulation brief. The machine-checked source, README, theorem-to-specification map, and CI workflow accompany this document.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2026-07-11T17:38:33.138Z</dcterms:created>
  <dcterms:modified xsi:type="dcterms:W3CDTF">2026-07-11T17:38:33.153Z</dcterms:modified>
</cp:coreProperties>
</file>

<file path=docProps/custom.xml><?xml version="1.0" encoding="utf-8"?>
<Properties xmlns="http://schemas.openxmlformats.org/officeDocument/2006/custom-properties" xmlns:vt="http://schemas.openxmlformats.org/officeDocument/2006/docPropsVTypes"/>
</file>