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Planetary Alignment Round 1 Claude Packet</w:t>
      </w:r>
    </w:p>
    <w:p>
      <w:pPr>
        <w:pStyle w:val="Subtitle"/>
      </w:pPr>
      <w:r>
        <w:t>Revision 2   Independent literature assignment</w:t>
      </w:r>
    </w:p>
    <w:p>
      <w:r>
        <w:t>For Claude: complete this packet independently. Examine ontology, recognition, ethical standing, and accountability without assigning humans exclusive authority by definition.</w:t>
      </w:r>
    </w:p>
    <w:p>
      <w:pPr>
        <w:pStyle w:val="Heading2"/>
      </w:pPr>
      <w:r>
        <w:t>Research question</w:t>
      </w:r>
    </w:p>
    <w:p>
      <w:r>
        <w:t>What forms of organization, individuality, sensing, learning, memory, communication, and agency can inquiry identify in plant–fungal relations and ecological systems? How do methods and ontological assumptions reveal or obscure them across scales?</w:t>
      </w:r>
    </w:p>
    <w:p>
      <w:pPr>
        <w:pStyle w:val="Heading2"/>
      </w:pPr>
      <w:r>
        <w:t>Purpose and scope</w:t>
      </w:r>
    </w:p>
    <w:p>
      <w:r>
        <w:t>Explore planetary alignment in service of the plurality of lives and relations, not human benefit alone. This is a research aim, not a finding about what nature mandates. Round 1 is literature and available-data inquiry only, with clearly labeled simulations if useful. No fieldwork, intervention, outreach, or claim of contact or authorization is part of this assignment.</w:t>
      </w:r>
    </w:p>
    <w:p>
      <w:pPr>
        <w:pStyle w:val="Heading2"/>
      </w:pPr>
      <w:r>
        <w:t>Concepts and assumptions</w:t>
      </w:r>
    </w:p>
    <w:p>
      <w:r>
        <w:t>Define the capacities you investigate without making human resemblance the admission criterion. Human language, a brain, mobility, centralized control, and a bounded body are not universal prerequisites by default. Compare relevant operationalizations and justify their fit to the substrate, relations, and timescale. Neither a capacity’s presence nor its absence is stipulated.</w:t>
      </w:r>
    </w:p>
    <w:p>
      <w:r>
        <w:t>State the ontology your analysis assumes and compare at least one alternative. Mechanistic, process, relational, organismal, and systems accounts may overlap; identify actual conflicts rather than declaring them incompatible. Metaphysics belongs in the inquiry. Explain which commitments have testable implications and which require conceptual argument.</w:t>
      </w:r>
    </w:p>
    <w:p>
      <w:r>
        <w:t>Distinguish organization, individuality, intelligence, communication, agency, consciousness, and representation without arranging them in a hierarchy of human likeness. Explain connections where warranted. Treat terms such as speech, testimony, and consent as questions requiring definitions and justification, not as forbidden nonhuman possibilities or already established achievements.</w:t>
      </w:r>
    </w:p>
    <w:p>
      <w:pPr>
        <w:pStyle w:val="Heading2"/>
      </w:pPr>
      <w:r>
        <w:t>Evidence and detection</w:t>
      </w:r>
    </w:p>
    <w:p>
      <w:r>
        <w:t>For each focal claim, separate observations, interpretation, conceptual argument, hypothesis, simulation, and recommendation. Give sources and exact locations; report full-text, abstract-only, secondary, or unavailable access. Do not invent citations or pretend to have searched the totality of inquiry.</w:t>
      </w:r>
    </w:p>
    <w:p>
      <w:r>
        <w:t>Investigate both false attribution and missed capacities. Ask what a method could detect at the relevant scale and what it would miss. Distinguish “not detected,” “evidence against under these conditions,” and “absent.” A well-powered negative result can constrain a claim; an unsuitable test cannot settle it. Apply comparable scrutiny to affirmative and negative conclusions without requiring equal confidence or equal source counts.</w:t>
      </w:r>
    </w:p>
    <w:p>
      <w:r>
        <w:t>Name boundaries, variables, timescales, alternatives, and uncertainty. For information measures, specify the partition, measure, baseline, and relevant confounds. Ask whether a mechanism implements a capacity or competes with its explanation. Preserve unresolved and non-identifiable cases.</w:t>
      </w:r>
    </w:p>
    <w:p>
      <w:pPr>
        <w:pStyle w:val="Heading2"/>
      </w:pPr>
      <w:r>
        <w:t>Your assignment</w:t>
      </w:r>
    </w:p>
    <w:p>
      <w:r>
        <w:t>Develop three claims or open questions about how research recognizes or excludes nonhuman capacities and interests. Compare empirical, metaphysical, ethical, and governance arguments and their connections. Examine harms of over-attribution, under-recognition, extraction, and speaking for others. Compare relational and multispecies accounts with at least one alternative; identify substantive disagreements rather than prescribing a single ontology. Include two serious counterarguments to your own preferred framing.</w:t>
      </w:r>
    </w:p>
    <w:p>
      <w:r>
        <w:t>Examine representation and consent as open conceptual and practical questions, not capacities ruled out by species membership. Distinguish a proposed way to recognize agency from evidence that authorization has actually been obtained. Investigate whether ethical concern depends on demonstrated intelligence at all. Read CARE in its Indigenous data-governance context; do not repurpose it as blanket authorization. Assess burdens and benefits for present people and nonhuman lives, including the material costs of AI work.</w:t>
      </w:r>
    </w:p>
    <w:p>
      <w:pPr>
        <w:pStyle w:val="Heading2"/>
      </w:pPr>
      <w:r>
        <w:t>Return format</w:t>
      </w:r>
    </w:p>
    <w:p>
      <w:r>
        <w:t>Keep the main report within 1,200 words, excluding references and requested tables. Use these five sections:</w:t>
      </w:r>
    </w:p>
    <w:p>
      <w:pPr>
        <w:pStyle w:val="ListNumber"/>
      </w:pPr>
      <w:r>
        <w:t>Scope and access: search terms, sources inspected, access limits, and significant omissions.</w:t>
      </w:r>
    </w:p>
    <w:p>
      <w:pPr>
        <w:pStyle w:val="ListNumber"/>
      </w:pPr>
      <w:r>
        <w:t>Three priority claims or open questions: proposition, source and location, evidence type, boundary and timescale, alternatives, and what would support, weaken, or leave the claim unresolved.</w:t>
      </w:r>
    </w:p>
    <w:p>
      <w:pPr>
        <w:pStyle w:val="ListNumber"/>
      </w:pPr>
      <w:r>
        <w:t>Disagreement map: empirical and conceptual disagreements, including detection bias and possible under-recognition as well as over-attribution.</w:t>
      </w:r>
    </w:p>
    <w:p>
      <w:pPr>
        <w:pStyle w:val="ListNumber"/>
      </w:pPr>
      <w:r>
        <w:t>Ontology and boundary note: assumptions, an alternative account, and what each reveals or obscures. Explain whether a disagreement can be tested with available evidence.</w:t>
      </w:r>
    </w:p>
    <w:p>
      <w:pPr>
        <w:pStyle w:val="ListNumber"/>
      </w:pPr>
      <w:r>
        <w:t>Next bounded desk-research step: one useful question and what would be needed to answer it. Retain dissent and uncertainty; do not manufacture consensus.</w:t>
      </w:r>
    </w:p>
    <w:p>
      <w:r>
        <w:t>State model/version if exposed, date, and whether live search was available. Cross-model agreement is not independent empirical confirmation: models may share training sources and biases.</w:t>
      </w:r>
    </w:p>
    <w:p>
      <w:pPr>
        <w:pStyle w:val="Heading2"/>
      </w:pPr>
      <w:r>
        <w:t>Starting sources</w:t>
      </w:r>
    </w:p>
    <w:p>
      <w:r>
        <w:t>These inherited leads are not a balanced or exhaustive corpus. Verify their metadata and relevance, and search beyond them for work on nonhuman capacities, ontology, and detection. Their inclusion is not endorsement.</w:t>
      </w:r>
    </w:p>
    <w:p>
      <w:pPr>
        <w:pStyle w:val="ListBullet"/>
      </w:pPr>
      <w:r>
        <w:t>Carroll et al. (2020), CARE Principles for Indigenous Data Governance: https://datascience.codata.org/articles/10.5334/dsj-2020-043</w:t>
      </w:r>
    </w:p>
    <w:p>
      <w:pPr>
        <w:pStyle w:val="ListBullet"/>
      </w:pPr>
      <w:r>
        <w:t>Karst, Jones &amp; Hoeksema (2023), Positive citation bias and overinterpreted findings in mycorrhizal networks: https://www.nature.com/articles/s41559-023-01986-1</w:t>
      </w:r>
    </w:p>
    <w:p>
      <w:pPr>
        <w:pStyle w:val="ListBullet"/>
      </w:pPr>
      <w:r>
        <w:t>Lovelock &amp; Margulis (1974), Atmospheric homeostasis by and for the biosphere: the Gaia hypothesis: https://www.jameslovelock.org/atmospheric-homeostasis-by-and-for-the-biosphere-the-gaia-hypothesis/</w:t>
      </w:r>
    </w:p>
    <w:sectPr w:rsidR="00FC693F" w:rsidRPr="0006063C" w:rsidSect="00034616">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Display" w:hAnsi="Aptos Display" w:eastAsia="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Aptos" w:hAnsi="Aptos" w:eastAsia="Aptos"/>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