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Planetary Alignment Round 1 DeepSeek Packet</w:t>
      </w:r>
    </w:p>
    <w:p>
      <w:pPr>
        <w:pStyle w:val="Subtitle"/>
      </w:pPr>
      <w:r>
        <w:t>Revision 2   Independent literature assignment</w:t>
      </w:r>
    </w:p>
    <w:p>
      <w:r>
        <w:t>For DeepSeek: complete this packet independently. Examine information-theoretic individuality as a way to investigate boundaries rather than assume them.</w:t>
      </w:r>
    </w:p>
    <w:p>
      <w:pPr>
        <w:pStyle w:val="Heading2"/>
      </w:pPr>
      <w:r>
        <w:t>Research question</w:t>
      </w:r>
    </w:p>
    <w:p>
      <w:r>
        <w:t>What forms of organization, individuality, sensing, learning, memory, communication, and agency can inquiry identify in plant–fungal relations and ecological systems? How do methods and ontological assumptions reveal or obscure them across scales?</w:t>
      </w:r>
    </w:p>
    <w:p>
      <w:pPr>
        <w:pStyle w:val="Heading2"/>
      </w:pPr>
      <w:r>
        <w:t>Purpose and scope</w:t>
      </w:r>
    </w:p>
    <w:p>
      <w:r>
        <w:t>Explore planetary alignment in service of the plurality of lives and relations, not human benefit alone. This is a research aim, not a finding about what nature mandates. Round 1 is literature and available-data inquiry only, with clearly labeled simulations if useful. No fieldwork, intervention, outreach, or claim of contact or authorization is part of this assignment.</w:t>
      </w:r>
    </w:p>
    <w:p>
      <w:pPr>
        <w:pStyle w:val="Heading2"/>
      </w:pPr>
      <w:r>
        <w:t>Concepts and assumptions</w:t>
      </w:r>
    </w:p>
    <w:p>
      <w:r>
        <w:t>Define the capacities you investigate without making human resemblance the admission criterion. Human language, a brain, mobility, centralized control, and a bounded body are not universal prerequisites by default. Compare relevant operationalizations and justify their fit to the substrate, relations, and timescale. Neither a capacity’s presence nor its absence is stipulated.</w:t>
      </w:r>
    </w:p>
    <w:p>
      <w:r>
        <w:t>State the ontology your analysis assumes and compare at least one alternative. Mechanistic, process, relational, organismal, and systems accounts may overlap; identify actual conflicts rather than declaring them incompatible. Metaphysics belongs in the inquiry. Explain which commitments have testable implications and which require conceptual argument.</w:t>
      </w:r>
    </w:p>
    <w:p>
      <w:r>
        <w:t>Distinguish organization, individuality, intelligence, communication, agency, consciousness, and representation without arranging them in a hierarchy of human likeness. Explain connections where warranted. Treat terms such as speech, testimony, and consent as questions requiring definitions and justification, not as forbidden nonhuman possibilities or already established achievements.</w:t>
      </w:r>
    </w:p>
    <w:p>
      <w:pPr>
        <w:pStyle w:val="Heading2"/>
      </w:pPr>
      <w:r>
        <w:t>Evidence and detection</w:t>
      </w:r>
    </w:p>
    <w:p>
      <w:r>
        <w:t>For each focal claim, separate observations, interpretation, conceptual argument, hypothesis, simulation, and recommendation. Give sources and exact locations; report full-text, abstract-only, secondary, or unavailable access. Do not invent citations or pretend to have searched the totality of inquiry.</w:t>
      </w:r>
    </w:p>
    <w:p>
      <w:r>
        <w:t>Investigate both false attribution and missed capacities. Ask what a method could detect at the relevant scale and what it would miss. Distinguish “not detected,” “evidence against under these conditions,” and “absent.” A well-powered negative result can constrain a claim; an unsuitable test cannot settle it. Apply comparable scrutiny to affirmative and negative conclusions without requiring equal confidence or equal source counts.</w:t>
      </w:r>
    </w:p>
    <w:p>
      <w:r>
        <w:t>Name boundaries, variables, timescales, alternatives, and uncertainty. For information measures, specify the partition, measure, baseline, and relevant confounds. Ask whether a mechanism implements a capacity or competes with its explanation. Preserve unresolved and non-identifiable cases.</w:t>
      </w:r>
    </w:p>
    <w:p>
      <w:pPr>
        <w:pStyle w:val="Heading2"/>
      </w:pPr>
      <w:r>
        <w:t>Your assignment</w:t>
      </w:r>
    </w:p>
    <w:p>
      <w:r>
        <w:t>Read the information theory of individuality and compare its definitions with alternative accounts. Explain persistence, prediction, system–environment partitioning, and any regularization actually used. Develop three claims or open questions about plant–fungal partnerships and ecological systems. Propose one bounded reanalysis or simulation. Specify results that would support, weaken, or leave unresolved each interpretation, including nested, distributed, transient, and environment-dependent individuality.</w:t>
      </w:r>
    </w:p>
    <w:p>
      <w:r>
        <w:t>Check shared forcing, autocorrelation, measurement resolution, unequal system size, and post-hoc boundary choice. Explain how a partition can conceal constitutive relations or manufacture apparent unity. Compare appropriate baselines and held-out predictions where feasible. Information measures do not by themselves settle causation or agency; they may contribute evidence under explicit assumptions. Neither dependence on an environment nor lack of a brain automatically disqualifies individuality or intelligence.</w:t>
      </w:r>
    </w:p>
    <w:p>
      <w:pPr>
        <w:pStyle w:val="Heading2"/>
      </w:pPr>
      <w:r>
        <w:t>Return format</w:t>
      </w:r>
    </w:p>
    <w:p>
      <w:r>
        <w:t>Keep the main report within 1,200 words, excluding references and requested tables. Use these five sections:</w:t>
      </w:r>
    </w:p>
    <w:p>
      <w:pPr>
        <w:pStyle w:val="ListNumber"/>
      </w:pPr>
      <w:r>
        <w:t>Scope and access: search terms, sources inspected, access limits, and significant omissions.</w:t>
      </w:r>
    </w:p>
    <w:p>
      <w:pPr>
        <w:pStyle w:val="ListNumber"/>
      </w:pPr>
      <w:r>
        <w:t>Three priority claims or open questions: proposition, source and location, evidence type, boundary and timescale, alternatives, and what would support, weaken, or leave the claim unresolved.</w:t>
      </w:r>
    </w:p>
    <w:p>
      <w:pPr>
        <w:pStyle w:val="ListNumber"/>
      </w:pPr>
      <w:r>
        <w:t>Disagreement map: empirical and conceptual disagreements, including detection bias and possible under-recognition as well as over-attribution.</w:t>
      </w:r>
    </w:p>
    <w:p>
      <w:pPr>
        <w:pStyle w:val="ListNumber"/>
      </w:pPr>
      <w:r>
        <w:t>Ontology and boundary note: assumptions, an alternative account, and what each reveals or obscures. Explain whether a disagreement can be tested with available evidence.</w:t>
      </w:r>
    </w:p>
    <w:p>
      <w:pPr>
        <w:pStyle w:val="ListNumber"/>
      </w:pPr>
      <w:r>
        <w:t>Next bounded desk-research step: one useful question and what would be needed to answer it. Retain dissent and uncertainty; do not manufacture consensus.</w:t>
      </w:r>
    </w:p>
    <w:p>
      <w:r>
        <w:t>State model/version if exposed, date, and whether live search was available. Cross-model agreement is not independent empirical confirmation: models may share training sources and biases.</w:t>
      </w:r>
    </w:p>
    <w:p>
      <w:pPr>
        <w:pStyle w:val="Heading2"/>
      </w:pPr>
      <w:r>
        <w:t>Starting sources</w:t>
      </w:r>
    </w:p>
    <w:p>
      <w:r>
        <w:t>These inherited leads are not a balanced or exhaustive corpus. Verify their metadata and relevance, and search beyond them for work on nonhuman capacities, ontology, and detection. Their inclusion is not endorsement.</w:t>
      </w:r>
    </w:p>
    <w:p>
      <w:pPr>
        <w:pStyle w:val="ListBullet"/>
      </w:pPr>
      <w:r>
        <w:t>Krakauer et al. (2020), The information theory of individuality: https://link.springer.com/article/10.1007/s12064-020-00313-7</w:t>
      </w:r>
    </w:p>
    <w:p>
      <w:pPr>
        <w:pStyle w:val="ListBullet"/>
      </w:pPr>
      <w:r>
        <w:t>Lovelock &amp; Margulis (1974), Atmospheric homeostasis by and for the biosphere: the Gaia hypothesis: https://www.jameslovelock.org/atmospheric-homeostasis-by-and-for-the-biosphere-the-gaia-hypothesis/</w:t>
      </w:r>
    </w:p>
    <w:p>
      <w:pPr>
        <w:pStyle w:val="ListBullet"/>
      </w:pPr>
      <w:r>
        <w:t>Kiers et al. (2011), Reciprocal rewards stabilize cooperation in the mycorrhizal symbiosis: https://www.science.org/doi/10.1126/science.1208473</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