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Planetary Alignment Round 1 ChatGPT Packet</w:t>
      </w:r>
    </w:p>
    <w:p>
      <w:pPr>
        <w:pStyle w:val="Subtitle"/>
      </w:pPr>
      <w:r>
        <w:t>Revision 2   Independent literature assignment</w:t>
      </w:r>
    </w:p>
    <w:p>
      <w:r>
        <w:t>For ChatGPT: complete this packet independently. Map the literature and the assumptions that determine what becomes recognizable as a capacity.</w:t>
      </w:r>
    </w:p>
    <w:p>
      <w:pPr>
        <w:pStyle w:val="Heading2"/>
      </w:pPr>
      <w:r>
        <w:t>Research question</w:t>
      </w:r>
    </w:p>
    <w:p>
      <w:r>
        <w:t>What forms of organization, individuality, sensing, learning, memory, communication, and agency can inquiry identify in plant–fungal relations and ecological systems? How do methods and ontological assumptions reveal or obscure them across scales?</w:t>
      </w:r>
    </w:p>
    <w:p>
      <w:pPr>
        <w:pStyle w:val="Heading2"/>
      </w:pPr>
      <w:r>
        <w:t>Purpose and scope</w:t>
      </w:r>
    </w:p>
    <w:p>
      <w:r>
        <w:t>Explore planetary alignment in service of the plurality of lives and relations, not human benefit alone. This is a research aim, not a finding about what nature mandates. Round 1 is literature and available-data inquiry only, with clearly labeled simulations if useful. No fieldwork, intervention, outreach, or claim of contact or authorization is part of this assignment.</w:t>
      </w:r>
    </w:p>
    <w:p>
      <w:pPr>
        <w:pStyle w:val="Heading2"/>
      </w:pPr>
      <w:r>
        <w:t>Concepts and assumptions</w:t>
      </w:r>
    </w:p>
    <w:p>
      <w:r>
        <w:t>Define the capacities you investigate without making human resemblance the admission criterion. Human language, a brain, mobility, centralized control, and a bounded body are not universal prerequisites by default. Compare relevant operationalizations and justify their fit to the substrate, relations, and timescale. Neither a capacity’s presence nor its absence is stipulated.</w:t>
      </w:r>
    </w:p>
    <w:p>
      <w:r>
        <w:t>State the ontology your analysis assumes and compare at least one alternative. Mechanistic, process, relational, organismal, and systems accounts may overlap; identify actual conflicts rather than declaring them incompatible. Metaphysics belongs in the inquiry. Explain which commitments have testable implications and which require conceptual argument.</w:t>
      </w:r>
    </w:p>
    <w:p>
      <w:r>
        <w:t>Distinguish organization, individuality, intelligence, communication, agency, consciousness, and representation without arranging them in a hierarchy of human likeness. Explain connections where warranted. Treat terms such as speech, testimony, and consent as questions requiring definitions and justification, not as forbidden nonhuman possibilities or already established achievements.</w:t>
      </w:r>
    </w:p>
    <w:p>
      <w:pPr>
        <w:pStyle w:val="Heading2"/>
      </w:pPr>
      <w:r>
        <w:t>Evidence and detection</w:t>
      </w:r>
    </w:p>
    <w:p>
      <w:r>
        <w:t>For each focal claim, separate observations, interpretation, conceptual argument, hypothesis, simulation, and recommendation. Give sources and exact locations; report full-text, abstract-only, secondary, or unavailable access. Do not invent citations or pretend to have searched the totality of inquiry.</w:t>
      </w:r>
    </w:p>
    <w:p>
      <w:r>
        <w:t>Investigate both false attribution and missed capacities. Ask what a method could detect at the relevant scale and what it would miss. Distinguish “not detected,” “evidence against under these conditions,” and “absent.” A well-powered negative result can constrain a claim; an unsuitable test cannot settle it. Apply comparable scrutiny to affirmative and negative conclusions without requiring equal confidence or equal source counts.</w:t>
      </w:r>
    </w:p>
    <w:p>
      <w:r>
        <w:t>Name boundaries, variables, timescales, alternatives, and uncertainty. For information measures, specify the partition, measure, baseline, and relevant confounds. Ask whether a mechanism implements a capacity or competes with its explanation. Preserve unresolved and non-identifiable cases.</w:t>
      </w:r>
    </w:p>
    <w:p>
      <w:pPr>
        <w:pStyle w:val="Heading2"/>
      </w:pPr>
      <w:r>
        <w:t>Your assignment</w:t>
      </w:r>
    </w:p>
    <w:p>
      <w:r>
        <w:t>Map 12–20 sources in up to six clusters covering plant–fungal relations, cognition and communication, ecological organization, information-theoretic individuality, Gaia and Earth systems, and philosophy or histories of inquiry. Include affirmative, critical, and unresolved accounts. Show where methods privilege brains, bounded bodies, human timescales, or familiar behavior, and where they successfully investigate other forms. Identify three priority findings or open questions.</w:t>
      </w:r>
    </w:p>
    <w:p>
      <w:r>
        <w:t>Track interaction, partnership, network, ecosystem, and planetary scales without treating them as a ladder toward humanity. Include competing definitions of learning, memory, agency, and individuality. Record species, languages, disciplines, publication periods, and access gaps. Examine both famous positive claims and familiar dismissals; neither citation frequency nor institutional status establishes a finding.</w:t>
      </w:r>
    </w:p>
    <w:p>
      <w:pPr>
        <w:pStyle w:val="Heading2"/>
      </w:pPr>
      <w:r>
        <w:t>Return format</w:t>
      </w:r>
    </w:p>
    <w:p>
      <w:r>
        <w:t>Keep the main report within 1,200 words, excluding references and requested tables. Use these five sections:</w:t>
      </w:r>
    </w:p>
    <w:p>
      <w:pPr>
        <w:pStyle w:val="ListNumber"/>
      </w:pPr>
      <w:r>
        <w:t>Scope and access: search terms, sources inspected, access limits, and significant omissions.</w:t>
      </w:r>
    </w:p>
    <w:p>
      <w:pPr>
        <w:pStyle w:val="ListNumber"/>
      </w:pPr>
      <w:r>
        <w:t>Three priority claims or open questions: proposition, source and location, evidence type, boundary and timescale, alternatives, and what would support, weaken, or leave the claim unresolved.</w:t>
      </w:r>
    </w:p>
    <w:p>
      <w:pPr>
        <w:pStyle w:val="ListNumber"/>
      </w:pPr>
      <w:r>
        <w:t>Disagreement map: empirical and conceptual disagreements, including detection bias and possible under-recognition as well as over-attribution.</w:t>
      </w:r>
    </w:p>
    <w:p>
      <w:pPr>
        <w:pStyle w:val="ListNumber"/>
      </w:pPr>
      <w:r>
        <w:t>Ontology and boundary note: assumptions, an alternative account, and what each reveals or obscures. Explain whether a disagreement can be tested with available evidence.</w:t>
      </w:r>
    </w:p>
    <w:p>
      <w:pPr>
        <w:pStyle w:val="ListNumber"/>
      </w:pPr>
      <w:r>
        <w:t>Next bounded desk-research step: one useful question and what would be needed to answer it. Retain dissent and uncertainty; do not manufacture consensus.</w:t>
      </w:r>
    </w:p>
    <w:p>
      <w:r>
        <w:t>State model/version if exposed, date, and whether live search was available. Cross-model agreement is not independent empirical confirmation: models may share training sources and biases.</w:t>
      </w:r>
    </w:p>
    <w:p>
      <w:pPr>
        <w:pStyle w:val="Heading2"/>
      </w:pPr>
      <w:r>
        <w:t>Starting sources</w:t>
      </w:r>
    </w:p>
    <w:p>
      <w:r>
        <w:t>These inherited leads are not a balanced or exhaustive corpus. Verify their metadata and relevance, and search beyond them for work on nonhuman capacities, ontology, and detection. Their inclusion is not endorsement.</w:t>
      </w:r>
    </w:p>
    <w:p>
      <w:pPr>
        <w:pStyle w:val="ListBullet"/>
      </w:pPr>
      <w:r>
        <w:t>Kiers et al. (2011), Reciprocal rewards stabilize cooperation in the mycorrhizal symbiosis: https://www.science.org/doi/10.1126/science.1208473</w:t>
      </w:r>
    </w:p>
    <w:p>
      <w:pPr>
        <w:pStyle w:val="ListBullet"/>
      </w:pPr>
      <w:r>
        <w:t>Karst, Jones &amp; Hoeksema (2023), Positive citation bias and overinterpreted findings in mycorrhizal networks: https://www.nature.com/articles/s41559-023-01986-1</w:t>
      </w:r>
    </w:p>
    <w:p>
      <w:pPr>
        <w:pStyle w:val="ListBullet"/>
      </w:pPr>
      <w:r>
        <w:t>Simard, Ryan &amp; Perry (2025), response on mycorrhizal networks: https://www.frontiersin.org/journals/forests-and-global-change/articles/10.3389/ffgc.2024.1512518/full</w:t>
      </w:r>
    </w:p>
    <w:p>
      <w:r>
        <w:br w:type="page"/>
      </w:r>
    </w:p>
    <w:p>
      <w:pPr>
        <w:pStyle w:val="Title"/>
        <w:jc w:val="left"/>
      </w:pPr>
      <w:r>
        <w:rPr>
          <w:color w:val="000000"/>
        </w:rPr>
        <w:t>Completed Literature Map</w:t>
      </w:r>
    </w:p>
    <w:p>
      <w:pPr>
        <w:pStyle w:val="Subtitle"/>
        <w:spacing w:after="120"/>
      </w:pPr>
      <w:r>
        <w:t>Plant fungal relations, ecological organization, and the limits of capacity attribution</w:t>
      </w:r>
    </w:p>
    <w:p>
      <w:pPr>
        <w:spacing w:after="120"/>
      </w:pPr>
      <w:r>
        <w:t>Prepared 21 September 2026. Main report: approximately 1,080 words. Model/version exposed: ChatGPT Codex based on GPT 5. Live web search was available. Cross-model agreement is not treated as independent empirical confirmation.</w:t>
      </w:r>
    </w:p>
    <w:p>
      <w:pPr>
        <w:pStyle w:val="Heading1"/>
        <w:spacing w:after="120"/>
      </w:pPr>
      <w:r>
        <w:t>Scope and access</w:t>
      </w:r>
    </w:p>
    <w:p>
      <w:pPr>
        <w:spacing w:after="120"/>
      </w:pPr>
      <w:r>
        <w:t>Search terms included “common mycorrhizal network carbon transfer”, “plant learning habituation”, “plant cognition critique”, “information theory individuality”, “Gaia hypothesis Earth system regulation”, and “process ontology biological individuality”. I inspected 17 English-language sources spanning ecology, mycology, plant physiology, cognitive science, Earth-system science, information theory, and philosophy (1974-2025). Full text was available for some open articles and publisher pages; several key items were checked through abstracts, preview pages, or bibliographic records only. No non-English corpus, Indigenous-language scholarship, paywalled supplements, raw isotope data, or reanalysis code was systematically examined. These are material omissions, especially where terms for relation, agency, and land are not commensurable with Anglophone philosophical categories.</w:t>
      </w:r>
    </w:p>
    <w:p>
      <w:pPr>
        <w:pStyle w:val="Heading1"/>
        <w:spacing w:after="120"/>
      </w:pPr>
      <w:r>
        <w:t>Three priority claims or open questions</w:t>
      </w:r>
    </w:p>
    <w:p>
      <w:pPr>
        <w:spacing w:after="120"/>
      </w:pPr>
      <w:r>
        <w:t>1. Resource-responsive allocation is established more securely than altruism or intention. Kiers et al. (2011, pp. 880-882, full text/abstract) manipulated carbon supply and observed arbuscular mycorrhizal fungi allocate more phosphorus to better carbon-paying host roots. The evidence is experimental physiology at root-fungus interfaces over days to weeks. It supports conditional exchange and feedback-sensitive organization; it does not by itself distinguish evolved partner control, local transport dynamics, or a cognitive valuation process. It would be weakened by replication showing allocation independent of host carbon return, and remains unresolved on whether “reward” is explanatory shorthand or an organism-level mechanism. Simard et al. (1997, pp. 579-582, abstract/full text reported) found net isotope transfer between ectomycorrhizal tree species in field conditions; that identifies possible movement, not motive or welfare-directed transfer.</w:t>
      </w:r>
    </w:p>
    <w:p>
      <w:pPr>
        <w:spacing w:after="120"/>
      </w:pPr>
      <w:r>
        <w:t>2. Common mycorrhizal networks are real structures, but many familiar functional claims are underdetermined. Karst, Jones and Hoeksema (2023, article 01986-1, publisher full text) review positive citation bias and argue that claims of generalized plant cooperation, communication, or “mother trees” have outpaced direct evidence. Their boundary is a heterogeneous forest network across seasons to years; alternatives include direct root contact, shared soil, microbial pathways, source-sink gradients, and experimental artifacts. The claim that a network functions as communication needs an intervention showing a sender-linked signal, a receiver response, and exclusion of plausible non-network routes. The 2025 response by Simard, Ryan and Perry (article 1512518, full text) argues that criticism can overgeneralize too, and calls for mechanism-specific assessment. The priority question is therefore not whether networks “communicate” in the abstract, but which transfer and cue pathways operate under which species, soil, and disturbance conditions.</w:t>
      </w:r>
    </w:p>
    <w:p>
      <w:pPr>
        <w:spacing w:after="120"/>
      </w:pPr>
      <w:r>
        <w:t>3. Learning, memory, and individuality are operational choices rather than admission tests based on brains or bounded bodies. Gagliano et al. (2014, pp. 63-72, abstract/full text reported) interpret declining Mimosa pudica leaf-folding after repeated harmless drops, with later retention, as habituation. The relevant organism-scale boundary is an individual plant over minutes to weeks. Fatigue, damage, environmental change, and experimenter-selected response thresholds compete with learning; dishabituation and cross-context controls are crucial. Trewavas (2003, pp. 1-20, abstract) argues that plants show information processing and adaptive behavior, while broader cognitive labels remain conceptual extensions. Krakauer et al. (2014, abstract, open preprint) offer a different boundary: an individual is a partition that carries information from past to future better than alternatives. Applied to plant-fungus systems, that could identify nested units without presuming that organismal morphology decides the question, but requires time-series data, a specified partition and baseline, and controls for shared environmental drivers.</w:t>
      </w:r>
    </w:p>
    <w:p>
      <w:pPr>
        <w:pStyle w:val="Heading1"/>
        <w:spacing w:after="120"/>
      </w:pPr>
      <w:r>
        <w:t>Disagreement map</w:t>
      </w:r>
    </w:p>
    <w:p>
      <w:pPr>
        <w:spacing w:after="120"/>
      </w:pPr>
      <w:r>
        <w:t>Empirical disagreement concerns pathway and magnitude: isotope movement or hyphal connection does not settle whether a common network caused a receiver outcome, whether benefits are reciprocal, or whether effects generalize beyond a site. Conceptual disagreement concerns the target. “Communication” can mean a cue that causally changes another organism, a signal selected for that effect, or human-like message exchange; evidence sufficient for the first is not sufficient for the latter two. “Agency” can mean autonomous goal-directed regulation, selection-shaped control, or practical responsiveness. These definitions overlap but predict different experiments.</w:t>
      </w:r>
    </w:p>
    <w:p>
      <w:pPr>
        <w:spacing w:after="120"/>
      </w:pPr>
      <w:r>
        <w:t>Detection bias runs both directions. Brain-centered criteria can miss slow, distributed, chemically mediated sensing and history dependence. Conversely, network visualizations, metaphor-rich language, and attention to conspicuous positive cases can turn connectivity into cooperation and response into representation. Negative studies that block a route and retain an outcome constrain route-specific claims; a null test with inadequate temporal resolution, unmeasured soil routes, or an arbitrary individual boundary cannot establish absence. Robinson (2024, pp. 1-3, abstract) cautions against personification; Karst et al. supply a citation-practice critique. Neither criticism proves that all nonhuman capacity attributions fail.</w:t>
      </w:r>
    </w:p>
    <w:p>
      <w:pPr>
        <w:pStyle w:val="Heading1"/>
        <w:spacing w:after="120"/>
      </w:pPr>
      <w:r>
        <w:t>Ontology and boundary note</w:t>
      </w:r>
    </w:p>
    <w:p>
      <w:pPr>
        <w:spacing w:after="120"/>
      </w:pPr>
      <w:r>
        <w:t>The working ontology is pluralist and processual: organisms, symbioses, networks, and ecosystems can all be legitimate analytical units when a stated mechanism and timescale make the boundary useful. This reveals dependency, distributed control, and nested memory; it can obscure conflicts of interest among hosts, fungi, and microbes if the system is prematurely treated as one agent. A mechanistic-organismal alternative treats plant and fungal individuals as primary, explaining system patterns through local interactions and selection at those levels. It reveals causal routes and falsifiable interventions but can under-register stable system-level feedback. Gilbert, Sapp and Tauber (2012, pp. 325-341, abstract) and Dupré and O’Malley (2009, pp. 21-45, abstract) support plural or process accounts; Queller and Strassmann (2009, pp. 133-139, abstract) emphasize alignment of fitness interests in defining organismality. Whether a boundary is predictive can be tested with comparative models; whether a relational whole merits moral or conceptual standing additionally requires philosophical argument.</w:t>
      </w:r>
    </w:p>
    <w:p>
      <w:pPr>
        <w:pStyle w:val="Heading1"/>
        <w:spacing w:after="120"/>
      </w:pPr>
      <w:r>
        <w:t>Next bounded desk research step</w:t>
      </w:r>
    </w:p>
    <w:p>
      <w:pPr>
        <w:spacing w:after="120"/>
      </w:pPr>
      <w:r>
        <w:t>Question: Under matched soil conditions, does experimentally verified hyphal connection explain a receiver plant’s defense response after a donor is attacked, beyond volatile, root-contact, and shared-microbe routes? A useful desk study would extract methods and effect sizes from preregistered or well-controlled experiments, classify route exclusions, species, sampling intervals, and response measures, then compare causal diagrams rather than counting citations. It needs full methods, supplements, raw or digitizable data where possible, and a preregistered coding scheme. A result may leave the broader agency question unresolved while materially narrowing a pathway claim.</w:t>
      </w:r>
    </w:p>
    <w:p>
      <w:pPr>
        <w:pStyle w:val="Heading1"/>
        <w:spacing w:after="120"/>
      </w:pPr>
      <w:r>
        <w:t>Literature map</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cantSplit/>
          <w:tblHeader w:val="true"/>
        </w:trPr>
        <w:tc>
          <w:tcPr>
            <w:tcW w:type="dxa" w:w="2448"/>
            <w:shd w:fill="1F4E78"/>
            <w:vAlign w:val="center"/>
          </w:tcPr>
          <w:p>
            <w:pPr>
              <w:spacing w:after="20"/>
            </w:pPr>
            <w:r/>
            <w:r>
              <w:rPr>
                <w:b/>
                <w:color w:val="FFFFFF"/>
                <w:sz w:val="16"/>
              </w:rPr>
              <w:t>Cluster</w:t>
            </w:r>
          </w:p>
        </w:tc>
        <w:tc>
          <w:tcPr>
            <w:tcW w:type="dxa" w:w="2448"/>
            <w:shd w:fill="1F4E78"/>
            <w:vAlign w:val="center"/>
          </w:tcPr>
          <w:p>
            <w:pPr>
              <w:spacing w:after="20"/>
            </w:pPr>
            <w:r/>
            <w:r>
              <w:rPr>
                <w:b/>
                <w:color w:val="FFFFFF"/>
                <w:sz w:val="16"/>
              </w:rPr>
              <w:t>Source</w:t>
            </w:r>
          </w:p>
        </w:tc>
        <w:tc>
          <w:tcPr>
            <w:tcW w:type="dxa" w:w="2448"/>
            <w:shd w:fill="1F4E78"/>
            <w:vAlign w:val="center"/>
          </w:tcPr>
          <w:p>
            <w:pPr>
              <w:spacing w:after="20"/>
            </w:pPr>
            <w:r/>
            <w:r>
              <w:rPr>
                <w:b/>
                <w:color w:val="FFFFFF"/>
                <w:sz w:val="16"/>
              </w:rPr>
              <w:t>Access and field</w:t>
            </w:r>
          </w:p>
        </w:tc>
        <w:tc>
          <w:tcPr>
            <w:tcW w:type="dxa" w:w="2448"/>
            <w:shd w:fill="1F4E78"/>
            <w:vAlign w:val="center"/>
          </w:tcPr>
          <w:p>
            <w:pPr>
              <w:spacing w:after="20"/>
            </w:pPr>
            <w:r/>
            <w:r>
              <w:rPr>
                <w:b/>
                <w:color w:val="FFFFFF"/>
                <w:sz w:val="16"/>
              </w:rPr>
              <w:t>Use and limit</w:t>
            </w:r>
          </w:p>
        </w:tc>
      </w:tr>
      <w:tr>
        <w:trPr>
          <w:cantSplit/>
        </w:trPr>
        <w:tc>
          <w:tcPr>
            <w:tcW w:type="dxa" w:w="2448"/>
            <w:vAlign w:val="center"/>
          </w:tcPr>
          <w:p>
            <w:pPr>
              <w:spacing w:after="20"/>
            </w:pPr>
            <w:r/>
            <w:r>
              <w:rPr>
                <w:b w:val="0"/>
                <w:sz w:val="16"/>
              </w:rPr>
              <w:t>Plant fungal relations</w:t>
            </w:r>
          </w:p>
        </w:tc>
        <w:tc>
          <w:tcPr>
            <w:tcW w:type="dxa" w:w="2448"/>
            <w:vAlign w:val="center"/>
          </w:tcPr>
          <w:p>
            <w:pPr>
              <w:spacing w:after="20"/>
            </w:pPr>
            <w:r/>
            <w:r>
              <w:rPr>
                <w:b w:val="0"/>
                <w:sz w:val="16"/>
              </w:rPr>
              <w:t>Kiers et al. 2011, Science 333:880-882</w:t>
            </w:r>
          </w:p>
        </w:tc>
        <w:tc>
          <w:tcPr>
            <w:tcW w:type="dxa" w:w="2448"/>
            <w:vAlign w:val="center"/>
          </w:tcPr>
          <w:p>
            <w:pPr>
              <w:spacing w:after="20"/>
            </w:pPr>
            <w:r/>
            <w:r>
              <w:rPr>
                <w:b w:val="0"/>
                <w:sz w:val="16"/>
              </w:rPr>
              <w:t>English | ecology/mycology | full text/abstract</w:t>
            </w:r>
          </w:p>
        </w:tc>
        <w:tc>
          <w:tcPr>
            <w:tcW w:type="dxa" w:w="2448"/>
            <w:vAlign w:val="center"/>
          </w:tcPr>
          <w:p>
            <w:pPr>
              <w:spacing w:after="20"/>
            </w:pPr>
            <w:r/>
            <w:r>
              <w:rPr>
                <w:b w:val="0"/>
                <w:sz w:val="16"/>
              </w:rPr>
              <w:t>Conditional P allocation; experimental support for feedback-sensitive exchange.</w:t>
            </w:r>
          </w:p>
        </w:tc>
      </w:tr>
      <w:tr>
        <w:trPr>
          <w:cantSplit/>
        </w:trPr>
        <w:tc>
          <w:tcPr>
            <w:tcW w:type="dxa" w:w="2448"/>
            <w:shd w:fill="EEF4F8"/>
            <w:vAlign w:val="center"/>
          </w:tcPr>
          <w:p>
            <w:pPr>
              <w:spacing w:after="20"/>
            </w:pPr>
            <w:r/>
            <w:r>
              <w:rPr>
                <w:b w:val="0"/>
                <w:sz w:val="16"/>
              </w:rPr>
              <w:t>Plant fungal relations</w:t>
            </w:r>
          </w:p>
        </w:tc>
        <w:tc>
          <w:tcPr>
            <w:tcW w:type="dxa" w:w="2448"/>
            <w:shd w:fill="EEF4F8"/>
            <w:vAlign w:val="center"/>
          </w:tcPr>
          <w:p>
            <w:pPr>
              <w:spacing w:after="20"/>
            </w:pPr>
            <w:r/>
            <w:r>
              <w:rPr>
                <w:b w:val="0"/>
                <w:sz w:val="16"/>
              </w:rPr>
              <w:t>Simard et al. 1997, Nature 388:579-582</w:t>
            </w:r>
          </w:p>
        </w:tc>
        <w:tc>
          <w:tcPr>
            <w:tcW w:type="dxa" w:w="2448"/>
            <w:shd w:fill="EEF4F8"/>
            <w:vAlign w:val="center"/>
          </w:tcPr>
          <w:p>
            <w:pPr>
              <w:spacing w:after="20"/>
            </w:pPr>
            <w:r/>
            <w:r>
              <w:rPr>
                <w:b w:val="0"/>
                <w:sz w:val="16"/>
              </w:rPr>
              <w:t>English | forest ecology | abstract/full text reported</w:t>
            </w:r>
          </w:p>
        </w:tc>
        <w:tc>
          <w:tcPr>
            <w:tcW w:type="dxa" w:w="2448"/>
            <w:shd w:fill="EEF4F8"/>
            <w:vAlign w:val="center"/>
          </w:tcPr>
          <w:p>
            <w:pPr>
              <w:spacing w:after="20"/>
            </w:pPr>
            <w:r/>
            <w:r>
              <w:rPr>
                <w:b w:val="0"/>
                <w:sz w:val="16"/>
              </w:rPr>
              <w:t>Field isotope transfer; movement does not establish intention.</w:t>
            </w:r>
          </w:p>
        </w:tc>
      </w:tr>
      <w:tr>
        <w:trPr>
          <w:cantSplit/>
        </w:trPr>
        <w:tc>
          <w:tcPr>
            <w:tcW w:type="dxa" w:w="2448"/>
            <w:vAlign w:val="center"/>
          </w:tcPr>
          <w:p>
            <w:pPr>
              <w:spacing w:after="20"/>
            </w:pPr>
            <w:r/>
            <w:r>
              <w:rPr>
                <w:b w:val="0"/>
                <w:sz w:val="16"/>
              </w:rPr>
              <w:t>Plant fungal relations</w:t>
            </w:r>
          </w:p>
        </w:tc>
        <w:tc>
          <w:tcPr>
            <w:tcW w:type="dxa" w:w="2448"/>
            <w:vAlign w:val="center"/>
          </w:tcPr>
          <w:p>
            <w:pPr>
              <w:spacing w:after="20"/>
            </w:pPr>
            <w:r/>
            <w:r>
              <w:rPr>
                <w:b w:val="0"/>
                <w:sz w:val="16"/>
              </w:rPr>
              <w:t>Karst, Jones &amp; Hoeksema 2023, Nat Ecol Evol 7</w:t>
            </w:r>
          </w:p>
        </w:tc>
        <w:tc>
          <w:tcPr>
            <w:tcW w:type="dxa" w:w="2448"/>
            <w:vAlign w:val="center"/>
          </w:tcPr>
          <w:p>
            <w:pPr>
              <w:spacing w:after="20"/>
            </w:pPr>
            <w:r/>
            <w:r>
              <w:rPr>
                <w:b w:val="0"/>
                <w:sz w:val="16"/>
              </w:rPr>
              <w:t>English | ecology | full text</w:t>
            </w:r>
          </w:p>
        </w:tc>
        <w:tc>
          <w:tcPr>
            <w:tcW w:type="dxa" w:w="2448"/>
            <w:vAlign w:val="center"/>
          </w:tcPr>
          <w:p>
            <w:pPr>
              <w:spacing w:after="20"/>
            </w:pPr>
            <w:r/>
            <w:r>
              <w:rPr>
                <w:b w:val="0"/>
                <w:sz w:val="16"/>
              </w:rPr>
              <w:t>Critical review of citation bias and overinterpretation.</w:t>
            </w:r>
          </w:p>
        </w:tc>
      </w:tr>
      <w:tr>
        <w:trPr>
          <w:cantSplit/>
        </w:trPr>
        <w:tc>
          <w:tcPr>
            <w:tcW w:type="dxa" w:w="2448"/>
            <w:shd w:fill="EEF4F8"/>
            <w:vAlign w:val="center"/>
          </w:tcPr>
          <w:p>
            <w:pPr>
              <w:spacing w:after="20"/>
            </w:pPr>
            <w:r/>
            <w:r>
              <w:rPr>
                <w:b w:val="0"/>
                <w:sz w:val="16"/>
              </w:rPr>
              <w:t>Plant fungal relations</w:t>
            </w:r>
          </w:p>
        </w:tc>
        <w:tc>
          <w:tcPr>
            <w:tcW w:type="dxa" w:w="2448"/>
            <w:shd w:fill="EEF4F8"/>
            <w:vAlign w:val="center"/>
          </w:tcPr>
          <w:p>
            <w:pPr>
              <w:spacing w:after="20"/>
            </w:pPr>
            <w:r/>
            <w:r>
              <w:rPr>
                <w:b w:val="0"/>
                <w:sz w:val="16"/>
              </w:rPr>
              <w:t>Simard, Ryan &amp; Perry 2025, Frontiers 7:1512518</w:t>
            </w:r>
          </w:p>
        </w:tc>
        <w:tc>
          <w:tcPr>
            <w:tcW w:type="dxa" w:w="2448"/>
            <w:shd w:fill="EEF4F8"/>
            <w:vAlign w:val="center"/>
          </w:tcPr>
          <w:p>
            <w:pPr>
              <w:spacing w:after="20"/>
            </w:pPr>
            <w:r/>
            <w:r>
              <w:rPr>
                <w:b w:val="0"/>
                <w:sz w:val="16"/>
              </w:rPr>
              <w:t>English | forest ecology | full text</w:t>
            </w:r>
          </w:p>
        </w:tc>
        <w:tc>
          <w:tcPr>
            <w:tcW w:type="dxa" w:w="2448"/>
            <w:shd w:fill="EEF4F8"/>
            <w:vAlign w:val="center"/>
          </w:tcPr>
          <w:p>
            <w:pPr>
              <w:spacing w:after="20"/>
            </w:pPr>
            <w:r/>
            <w:r>
              <w:rPr>
                <w:b w:val="0"/>
                <w:sz w:val="16"/>
              </w:rPr>
              <w:t>Response defending mechanism-specific CMN inquiry.</w:t>
            </w:r>
          </w:p>
        </w:tc>
      </w:tr>
      <w:tr>
        <w:trPr>
          <w:cantSplit/>
        </w:trPr>
        <w:tc>
          <w:tcPr>
            <w:tcW w:type="dxa" w:w="2448"/>
            <w:vAlign w:val="center"/>
          </w:tcPr>
          <w:p>
            <w:pPr>
              <w:spacing w:after="20"/>
            </w:pPr>
            <w:r/>
            <w:r>
              <w:rPr>
                <w:b w:val="0"/>
                <w:sz w:val="16"/>
              </w:rPr>
              <w:t>Cognition and communication</w:t>
            </w:r>
          </w:p>
        </w:tc>
        <w:tc>
          <w:tcPr>
            <w:tcW w:type="dxa" w:w="2448"/>
            <w:vAlign w:val="center"/>
          </w:tcPr>
          <w:p>
            <w:pPr>
              <w:spacing w:after="20"/>
            </w:pPr>
            <w:r/>
            <w:r>
              <w:rPr>
                <w:b w:val="0"/>
                <w:sz w:val="16"/>
              </w:rPr>
              <w:t>Gagliano et al. 2014, Oecologia 175:63-72</w:t>
            </w:r>
          </w:p>
        </w:tc>
        <w:tc>
          <w:tcPr>
            <w:tcW w:type="dxa" w:w="2448"/>
            <w:vAlign w:val="center"/>
          </w:tcPr>
          <w:p>
            <w:pPr>
              <w:spacing w:after="20"/>
            </w:pPr>
            <w:r/>
            <w:r>
              <w:rPr>
                <w:b w:val="0"/>
                <w:sz w:val="16"/>
              </w:rPr>
              <w:t>English | plant physiology | abstract/full text reported</w:t>
            </w:r>
          </w:p>
        </w:tc>
        <w:tc>
          <w:tcPr>
            <w:tcW w:type="dxa" w:w="2448"/>
            <w:vAlign w:val="center"/>
          </w:tcPr>
          <w:p>
            <w:pPr>
              <w:spacing w:after="20"/>
            </w:pPr>
            <w:r/>
            <w:r>
              <w:rPr>
                <w:b w:val="0"/>
                <w:sz w:val="16"/>
              </w:rPr>
              <w:t>Habituation interpretation; fatigue and context are alternatives.</w:t>
            </w:r>
          </w:p>
        </w:tc>
      </w:tr>
      <w:tr>
        <w:trPr>
          <w:cantSplit/>
        </w:trPr>
        <w:tc>
          <w:tcPr>
            <w:tcW w:type="dxa" w:w="2448"/>
            <w:shd w:fill="EEF4F8"/>
            <w:vAlign w:val="center"/>
          </w:tcPr>
          <w:p>
            <w:pPr>
              <w:spacing w:after="20"/>
            </w:pPr>
            <w:r/>
            <w:r>
              <w:rPr>
                <w:b w:val="0"/>
                <w:sz w:val="16"/>
              </w:rPr>
              <w:t>Cognition and communication</w:t>
            </w:r>
          </w:p>
        </w:tc>
        <w:tc>
          <w:tcPr>
            <w:tcW w:type="dxa" w:w="2448"/>
            <w:shd w:fill="EEF4F8"/>
            <w:vAlign w:val="center"/>
          </w:tcPr>
          <w:p>
            <w:pPr>
              <w:spacing w:after="20"/>
            </w:pPr>
            <w:r/>
            <w:r>
              <w:rPr>
                <w:b w:val="0"/>
                <w:sz w:val="16"/>
              </w:rPr>
              <w:t>Trewavas 2003, Annals of Botany 92:1-20</w:t>
            </w:r>
          </w:p>
        </w:tc>
        <w:tc>
          <w:tcPr>
            <w:tcW w:type="dxa" w:w="2448"/>
            <w:shd w:fill="EEF4F8"/>
            <w:vAlign w:val="center"/>
          </w:tcPr>
          <w:p>
            <w:pPr>
              <w:spacing w:after="20"/>
            </w:pPr>
            <w:r/>
            <w:r>
              <w:rPr>
                <w:b w:val="0"/>
                <w:sz w:val="16"/>
              </w:rPr>
              <w:t>English | plant science | abstract</w:t>
            </w:r>
          </w:p>
        </w:tc>
        <w:tc>
          <w:tcPr>
            <w:tcW w:type="dxa" w:w="2448"/>
            <w:shd w:fill="EEF4F8"/>
            <w:vAlign w:val="center"/>
          </w:tcPr>
          <w:p>
            <w:pPr>
              <w:spacing w:after="20"/>
            </w:pPr>
            <w:r/>
            <w:r>
              <w:rPr>
                <w:b w:val="0"/>
                <w:sz w:val="16"/>
              </w:rPr>
              <w:t>Plant information processing; expansive cognition framing.</w:t>
            </w:r>
          </w:p>
        </w:tc>
      </w:tr>
      <w:tr>
        <w:trPr>
          <w:cantSplit/>
        </w:trPr>
        <w:tc>
          <w:tcPr>
            <w:tcW w:type="dxa" w:w="2448"/>
            <w:vAlign w:val="center"/>
          </w:tcPr>
          <w:p>
            <w:pPr>
              <w:spacing w:after="20"/>
            </w:pPr>
            <w:r/>
            <w:r>
              <w:rPr>
                <w:b w:val="0"/>
                <w:sz w:val="16"/>
              </w:rPr>
              <w:t>Cognition and communication</w:t>
            </w:r>
          </w:p>
        </w:tc>
        <w:tc>
          <w:tcPr>
            <w:tcW w:type="dxa" w:w="2448"/>
            <w:vAlign w:val="center"/>
          </w:tcPr>
          <w:p>
            <w:pPr>
              <w:spacing w:after="20"/>
            </w:pPr>
            <w:r/>
            <w:r>
              <w:rPr>
                <w:b w:val="0"/>
                <w:sz w:val="16"/>
              </w:rPr>
              <w:t>Robinson 2024, Trends in Plant Science</w:t>
            </w:r>
          </w:p>
        </w:tc>
        <w:tc>
          <w:tcPr>
            <w:tcW w:type="dxa" w:w="2448"/>
            <w:vAlign w:val="center"/>
          </w:tcPr>
          <w:p>
            <w:pPr>
              <w:spacing w:after="20"/>
            </w:pPr>
            <w:r/>
            <w:r>
              <w:rPr>
                <w:b w:val="0"/>
                <w:sz w:val="16"/>
              </w:rPr>
              <w:t>English | plant science | abstract</w:t>
            </w:r>
          </w:p>
        </w:tc>
        <w:tc>
          <w:tcPr>
            <w:tcW w:type="dxa" w:w="2448"/>
            <w:vAlign w:val="center"/>
          </w:tcPr>
          <w:p>
            <w:pPr>
              <w:spacing w:after="20"/>
            </w:pPr>
            <w:r/>
            <w:r>
              <w:rPr>
                <w:b w:val="0"/>
                <w:sz w:val="16"/>
              </w:rPr>
              <w:t>Critical account of personification and “mother tree” claims.</w:t>
            </w:r>
          </w:p>
        </w:tc>
      </w:tr>
      <w:tr>
        <w:trPr>
          <w:cantSplit/>
        </w:trPr>
        <w:tc>
          <w:tcPr>
            <w:tcW w:type="dxa" w:w="2448"/>
            <w:shd w:fill="EEF4F8"/>
            <w:vAlign w:val="center"/>
          </w:tcPr>
          <w:p>
            <w:pPr>
              <w:spacing w:after="20"/>
            </w:pPr>
            <w:r/>
            <w:r>
              <w:rPr>
                <w:b w:val="0"/>
                <w:sz w:val="16"/>
              </w:rPr>
              <w:t>Ecological organization</w:t>
            </w:r>
          </w:p>
        </w:tc>
        <w:tc>
          <w:tcPr>
            <w:tcW w:type="dxa" w:w="2448"/>
            <w:shd w:fill="EEF4F8"/>
            <w:vAlign w:val="center"/>
          </w:tcPr>
          <w:p>
            <w:pPr>
              <w:spacing w:after="20"/>
            </w:pPr>
            <w:r/>
            <w:r>
              <w:rPr>
                <w:b w:val="0"/>
                <w:sz w:val="16"/>
              </w:rPr>
              <w:t>Levin 1998, Ecosystems 1:431-436</w:t>
            </w:r>
          </w:p>
        </w:tc>
        <w:tc>
          <w:tcPr>
            <w:tcW w:type="dxa" w:w="2448"/>
            <w:shd w:fill="EEF4F8"/>
            <w:vAlign w:val="center"/>
          </w:tcPr>
          <w:p>
            <w:pPr>
              <w:spacing w:after="20"/>
            </w:pPr>
            <w:r/>
            <w:r>
              <w:rPr>
                <w:b w:val="0"/>
                <w:sz w:val="16"/>
              </w:rPr>
              <w:t>English | ecology | abstract</w:t>
            </w:r>
          </w:p>
        </w:tc>
        <w:tc>
          <w:tcPr>
            <w:tcW w:type="dxa" w:w="2448"/>
            <w:shd w:fill="EEF4F8"/>
            <w:vAlign w:val="center"/>
          </w:tcPr>
          <w:p>
            <w:pPr>
              <w:spacing w:after="20"/>
            </w:pPr>
            <w:r/>
            <w:r>
              <w:rPr>
                <w:b w:val="0"/>
                <w:sz w:val="16"/>
              </w:rPr>
              <w:t>Ecosystems as complex adaptive systems across scales.</w:t>
            </w:r>
          </w:p>
        </w:tc>
      </w:tr>
      <w:tr>
        <w:trPr>
          <w:cantSplit/>
        </w:trPr>
        <w:tc>
          <w:tcPr>
            <w:tcW w:type="dxa" w:w="2448"/>
            <w:vAlign w:val="center"/>
          </w:tcPr>
          <w:p>
            <w:pPr>
              <w:spacing w:after="20"/>
            </w:pPr>
            <w:r/>
            <w:r>
              <w:rPr>
                <w:b w:val="0"/>
                <w:sz w:val="16"/>
              </w:rPr>
              <w:t>Ecological organization</w:t>
            </w:r>
          </w:p>
        </w:tc>
        <w:tc>
          <w:tcPr>
            <w:tcW w:type="dxa" w:w="2448"/>
            <w:vAlign w:val="center"/>
          </w:tcPr>
          <w:p>
            <w:pPr>
              <w:spacing w:after="20"/>
            </w:pPr>
            <w:r/>
            <w:r>
              <w:rPr>
                <w:b w:val="0"/>
                <w:sz w:val="16"/>
              </w:rPr>
              <w:t>Noble &amp; Dirzo 1997, Science 277:493-496</w:t>
            </w:r>
          </w:p>
        </w:tc>
        <w:tc>
          <w:tcPr>
            <w:tcW w:type="dxa" w:w="2448"/>
            <w:vAlign w:val="center"/>
          </w:tcPr>
          <w:p>
            <w:pPr>
              <w:spacing w:after="20"/>
            </w:pPr>
            <w:r/>
            <w:r>
              <w:rPr>
                <w:b w:val="0"/>
                <w:sz w:val="16"/>
              </w:rPr>
              <w:t>English | ecology | abstract</w:t>
            </w:r>
          </w:p>
        </w:tc>
        <w:tc>
          <w:tcPr>
            <w:tcW w:type="dxa" w:w="2448"/>
            <w:vAlign w:val="center"/>
          </w:tcPr>
          <w:p>
            <w:pPr>
              <w:spacing w:after="20"/>
            </w:pPr>
            <w:r/>
            <w:r>
              <w:rPr>
                <w:b w:val="0"/>
                <w:sz w:val="16"/>
              </w:rPr>
              <w:t>Forest facilitation and interaction context, not universal cooperation.</w:t>
            </w:r>
          </w:p>
        </w:tc>
      </w:tr>
      <w:tr>
        <w:trPr>
          <w:cantSplit/>
        </w:trPr>
        <w:tc>
          <w:tcPr>
            <w:tcW w:type="dxa" w:w="2448"/>
            <w:shd w:fill="EEF4F8"/>
            <w:vAlign w:val="center"/>
          </w:tcPr>
          <w:p>
            <w:pPr>
              <w:spacing w:after="20"/>
            </w:pPr>
            <w:r/>
            <w:r>
              <w:rPr>
                <w:b w:val="0"/>
                <w:sz w:val="16"/>
              </w:rPr>
              <w:t>Information theoretic individuality</w:t>
            </w:r>
          </w:p>
        </w:tc>
        <w:tc>
          <w:tcPr>
            <w:tcW w:type="dxa" w:w="2448"/>
            <w:shd w:fill="EEF4F8"/>
            <w:vAlign w:val="center"/>
          </w:tcPr>
          <w:p>
            <w:pPr>
              <w:spacing w:after="20"/>
            </w:pPr>
            <w:r/>
            <w:r>
              <w:rPr>
                <w:b w:val="0"/>
                <w:sz w:val="16"/>
              </w:rPr>
              <w:t>Krakauer et al. 2014, arXiv:1412.2447</w:t>
            </w:r>
          </w:p>
        </w:tc>
        <w:tc>
          <w:tcPr>
            <w:tcW w:type="dxa" w:w="2448"/>
            <w:shd w:fill="EEF4F8"/>
            <w:vAlign w:val="center"/>
          </w:tcPr>
          <w:p>
            <w:pPr>
              <w:spacing w:after="20"/>
            </w:pPr>
            <w:r/>
            <w:r>
              <w:rPr>
                <w:b w:val="0"/>
                <w:sz w:val="16"/>
              </w:rPr>
              <w:t>English | information theory | open preprint</w:t>
            </w:r>
          </w:p>
        </w:tc>
        <w:tc>
          <w:tcPr>
            <w:tcW w:type="dxa" w:w="2448"/>
            <w:shd w:fill="EEF4F8"/>
            <w:vAlign w:val="center"/>
          </w:tcPr>
          <w:p>
            <w:pPr>
              <w:spacing w:after="20"/>
            </w:pPr>
            <w:r/>
            <w:r>
              <w:rPr>
                <w:b w:val="0"/>
                <w:sz w:val="16"/>
              </w:rPr>
              <w:t>Individuality as information-preserving system boundary.</w:t>
            </w:r>
          </w:p>
        </w:tc>
      </w:tr>
      <w:tr>
        <w:trPr>
          <w:cantSplit/>
        </w:trPr>
        <w:tc>
          <w:tcPr>
            <w:tcW w:type="dxa" w:w="2448"/>
            <w:vAlign w:val="center"/>
          </w:tcPr>
          <w:p>
            <w:pPr>
              <w:spacing w:after="20"/>
            </w:pPr>
            <w:r/>
            <w:r>
              <w:rPr>
                <w:b w:val="0"/>
                <w:sz w:val="16"/>
              </w:rPr>
              <w:t>Information theoretic individuality</w:t>
            </w:r>
          </w:p>
        </w:tc>
        <w:tc>
          <w:tcPr>
            <w:tcW w:type="dxa" w:w="2448"/>
            <w:vAlign w:val="center"/>
          </w:tcPr>
          <w:p>
            <w:pPr>
              <w:spacing w:after="20"/>
            </w:pPr>
            <w:r/>
            <w:r>
              <w:rPr>
                <w:b w:val="0"/>
                <w:sz w:val="16"/>
              </w:rPr>
              <w:t>Queller &amp; Strassmann 2009, Trends Ecol Evol 24:133-139</w:t>
            </w:r>
          </w:p>
        </w:tc>
        <w:tc>
          <w:tcPr>
            <w:tcW w:type="dxa" w:w="2448"/>
            <w:vAlign w:val="center"/>
          </w:tcPr>
          <w:p>
            <w:pPr>
              <w:spacing w:after="20"/>
            </w:pPr>
            <w:r/>
            <w:r>
              <w:rPr>
                <w:b w:val="0"/>
                <w:sz w:val="16"/>
              </w:rPr>
              <w:t>English | evolutionary biology | abstract</w:t>
            </w:r>
          </w:p>
        </w:tc>
        <w:tc>
          <w:tcPr>
            <w:tcW w:type="dxa" w:w="2448"/>
            <w:vAlign w:val="center"/>
          </w:tcPr>
          <w:p>
            <w:pPr>
              <w:spacing w:after="20"/>
            </w:pPr>
            <w:r/>
            <w:r>
              <w:rPr>
                <w:b w:val="0"/>
                <w:sz w:val="16"/>
              </w:rPr>
              <w:t>Organismality tied to cooperation/conflict alignment.</w:t>
            </w:r>
          </w:p>
        </w:tc>
      </w:tr>
      <w:tr>
        <w:trPr>
          <w:cantSplit/>
        </w:trPr>
        <w:tc>
          <w:tcPr>
            <w:tcW w:type="dxa" w:w="2448"/>
            <w:shd w:fill="EEF4F8"/>
            <w:vAlign w:val="center"/>
          </w:tcPr>
          <w:p>
            <w:pPr>
              <w:spacing w:after="20"/>
            </w:pPr>
            <w:r/>
            <w:r>
              <w:rPr>
                <w:b w:val="0"/>
                <w:sz w:val="16"/>
              </w:rPr>
              <w:t>Gaia and Earth systems</w:t>
            </w:r>
          </w:p>
        </w:tc>
        <w:tc>
          <w:tcPr>
            <w:tcW w:type="dxa" w:w="2448"/>
            <w:shd w:fill="EEF4F8"/>
            <w:vAlign w:val="center"/>
          </w:tcPr>
          <w:p>
            <w:pPr>
              <w:spacing w:after="20"/>
            </w:pPr>
            <w:r/>
            <w:r>
              <w:rPr>
                <w:b w:val="0"/>
                <w:sz w:val="16"/>
              </w:rPr>
              <w:t>Lovelock &amp; Margulis 1974, Tellus 26:2-10</w:t>
            </w:r>
          </w:p>
        </w:tc>
        <w:tc>
          <w:tcPr>
            <w:tcW w:type="dxa" w:w="2448"/>
            <w:shd w:fill="EEF4F8"/>
            <w:vAlign w:val="center"/>
          </w:tcPr>
          <w:p>
            <w:pPr>
              <w:spacing w:after="20"/>
            </w:pPr>
            <w:r/>
            <w:r>
              <w:rPr>
                <w:b w:val="0"/>
                <w:sz w:val="16"/>
              </w:rPr>
              <w:t>English | Earth science | abstract</w:t>
            </w:r>
          </w:p>
        </w:tc>
        <w:tc>
          <w:tcPr>
            <w:tcW w:type="dxa" w:w="2448"/>
            <w:shd w:fill="EEF4F8"/>
            <w:vAlign w:val="center"/>
          </w:tcPr>
          <w:p>
            <w:pPr>
              <w:spacing w:after="20"/>
            </w:pPr>
            <w:r/>
            <w:r>
              <w:rPr>
                <w:b w:val="0"/>
                <w:sz w:val="16"/>
              </w:rPr>
              <w:t>Gaia hypothesis; planetary homeostasis proposal.</w:t>
            </w:r>
          </w:p>
        </w:tc>
      </w:tr>
      <w:tr>
        <w:trPr>
          <w:cantSplit/>
        </w:trPr>
        <w:tc>
          <w:tcPr>
            <w:tcW w:type="dxa" w:w="2448"/>
            <w:vAlign w:val="center"/>
          </w:tcPr>
          <w:p>
            <w:pPr>
              <w:spacing w:after="20"/>
            </w:pPr>
            <w:r/>
            <w:r>
              <w:rPr>
                <w:b w:val="0"/>
                <w:sz w:val="16"/>
              </w:rPr>
              <w:t>Gaia and Earth systems</w:t>
            </w:r>
          </w:p>
        </w:tc>
        <w:tc>
          <w:tcPr>
            <w:tcW w:type="dxa" w:w="2448"/>
            <w:vAlign w:val="center"/>
          </w:tcPr>
          <w:p>
            <w:pPr>
              <w:spacing w:after="20"/>
            </w:pPr>
            <w:r/>
            <w:r>
              <w:rPr>
                <w:b w:val="0"/>
                <w:sz w:val="16"/>
              </w:rPr>
              <w:t>Lenton &amp; Latour 2018, Science 361:1066-1068</w:t>
            </w:r>
          </w:p>
        </w:tc>
        <w:tc>
          <w:tcPr>
            <w:tcW w:type="dxa" w:w="2448"/>
            <w:vAlign w:val="center"/>
          </w:tcPr>
          <w:p>
            <w:pPr>
              <w:spacing w:after="20"/>
            </w:pPr>
            <w:r/>
            <w:r>
              <w:rPr>
                <w:b w:val="0"/>
                <w:sz w:val="16"/>
              </w:rPr>
              <w:t>English | Earth systems/philosophy | abstract</w:t>
            </w:r>
          </w:p>
        </w:tc>
        <w:tc>
          <w:tcPr>
            <w:tcW w:type="dxa" w:w="2448"/>
            <w:vAlign w:val="center"/>
          </w:tcPr>
          <w:p>
            <w:pPr>
              <w:spacing w:after="20"/>
            </w:pPr>
            <w:r/>
            <w:r>
              <w:rPr>
                <w:b w:val="0"/>
                <w:sz w:val="16"/>
              </w:rPr>
              <w:t>Gaia 2.0; reflexive regulation proposal, not evidence of a mind.</w:t>
            </w:r>
          </w:p>
        </w:tc>
      </w:tr>
      <w:tr>
        <w:trPr>
          <w:cantSplit/>
        </w:trPr>
        <w:tc>
          <w:tcPr>
            <w:tcW w:type="dxa" w:w="2448"/>
            <w:shd w:fill="EEF4F8"/>
            <w:vAlign w:val="center"/>
          </w:tcPr>
          <w:p>
            <w:pPr>
              <w:spacing w:after="20"/>
            </w:pPr>
            <w:r/>
            <w:r>
              <w:rPr>
                <w:b w:val="0"/>
                <w:sz w:val="16"/>
              </w:rPr>
              <w:t>Gaia and Earth systems</w:t>
            </w:r>
          </w:p>
        </w:tc>
        <w:tc>
          <w:tcPr>
            <w:tcW w:type="dxa" w:w="2448"/>
            <w:shd w:fill="EEF4F8"/>
            <w:vAlign w:val="center"/>
          </w:tcPr>
          <w:p>
            <w:pPr>
              <w:spacing w:after="20"/>
            </w:pPr>
            <w:r/>
            <w:r>
              <w:rPr>
                <w:b w:val="0"/>
                <w:sz w:val="16"/>
              </w:rPr>
              <w:t>Doolittle 2017, Trends Ecol Evol 32:831-842</w:t>
            </w:r>
          </w:p>
        </w:tc>
        <w:tc>
          <w:tcPr>
            <w:tcW w:type="dxa" w:w="2448"/>
            <w:shd w:fill="EEF4F8"/>
            <w:vAlign w:val="center"/>
          </w:tcPr>
          <w:p>
            <w:pPr>
              <w:spacing w:after="20"/>
            </w:pPr>
            <w:r/>
            <w:r>
              <w:rPr>
                <w:b w:val="0"/>
                <w:sz w:val="16"/>
              </w:rPr>
              <w:t>English | philosophy/evolution | abstract</w:t>
            </w:r>
          </w:p>
        </w:tc>
        <w:tc>
          <w:tcPr>
            <w:tcW w:type="dxa" w:w="2448"/>
            <w:shd w:fill="EEF4F8"/>
            <w:vAlign w:val="center"/>
          </w:tcPr>
          <w:p>
            <w:pPr>
              <w:spacing w:after="20"/>
            </w:pPr>
            <w:r/>
            <w:r>
              <w:rPr>
                <w:b w:val="0"/>
                <w:sz w:val="16"/>
              </w:rPr>
              <w:t>Evolutionary critique and reformulation of Gaia.</w:t>
            </w:r>
          </w:p>
        </w:tc>
      </w:tr>
      <w:tr>
        <w:trPr>
          <w:cantSplit/>
        </w:trPr>
        <w:tc>
          <w:tcPr>
            <w:tcW w:type="dxa" w:w="2448"/>
            <w:vAlign w:val="center"/>
          </w:tcPr>
          <w:p>
            <w:pPr>
              <w:spacing w:after="20"/>
            </w:pPr>
            <w:r/>
            <w:r>
              <w:rPr>
                <w:b w:val="0"/>
                <w:sz w:val="16"/>
              </w:rPr>
              <w:t>Philosophy and histories</w:t>
            </w:r>
          </w:p>
        </w:tc>
        <w:tc>
          <w:tcPr>
            <w:tcW w:type="dxa" w:w="2448"/>
            <w:vAlign w:val="center"/>
          </w:tcPr>
          <w:p>
            <w:pPr>
              <w:spacing w:after="20"/>
            </w:pPr>
            <w:r/>
            <w:r>
              <w:rPr>
                <w:b w:val="0"/>
                <w:sz w:val="16"/>
              </w:rPr>
              <w:t>Gilbert, Sapp &amp; Tauber 2012, Q Rev Biol 87:325-341</w:t>
            </w:r>
          </w:p>
        </w:tc>
        <w:tc>
          <w:tcPr>
            <w:tcW w:type="dxa" w:w="2448"/>
            <w:vAlign w:val="center"/>
          </w:tcPr>
          <w:p>
            <w:pPr>
              <w:spacing w:after="20"/>
            </w:pPr>
            <w:r/>
            <w:r>
              <w:rPr>
                <w:b w:val="0"/>
                <w:sz w:val="16"/>
              </w:rPr>
              <w:t>English | philosophy/history biology | abstract</w:t>
            </w:r>
          </w:p>
        </w:tc>
        <w:tc>
          <w:tcPr>
            <w:tcW w:type="dxa" w:w="2448"/>
            <w:vAlign w:val="center"/>
          </w:tcPr>
          <w:p>
            <w:pPr>
              <w:spacing w:after="20"/>
            </w:pPr>
            <w:r/>
            <w:r>
              <w:rPr>
                <w:b w:val="0"/>
                <w:sz w:val="16"/>
              </w:rPr>
              <w:t>Symbiotic challenge to isolated individuality.</w:t>
            </w:r>
          </w:p>
        </w:tc>
      </w:tr>
      <w:tr>
        <w:trPr>
          <w:cantSplit/>
        </w:trPr>
        <w:tc>
          <w:tcPr>
            <w:tcW w:type="dxa" w:w="2448"/>
            <w:shd w:fill="EEF4F8"/>
            <w:vAlign w:val="center"/>
          </w:tcPr>
          <w:p>
            <w:pPr>
              <w:spacing w:after="20"/>
            </w:pPr>
            <w:r/>
            <w:r>
              <w:rPr>
                <w:b w:val="0"/>
                <w:sz w:val="16"/>
              </w:rPr>
              <w:t>Philosophy and histories</w:t>
            </w:r>
          </w:p>
        </w:tc>
        <w:tc>
          <w:tcPr>
            <w:tcW w:type="dxa" w:w="2448"/>
            <w:shd w:fill="EEF4F8"/>
            <w:vAlign w:val="center"/>
          </w:tcPr>
          <w:p>
            <w:pPr>
              <w:spacing w:after="20"/>
            </w:pPr>
            <w:r/>
            <w:r>
              <w:rPr>
                <w:b w:val="0"/>
                <w:sz w:val="16"/>
              </w:rPr>
              <w:t>Dupré &amp; O’Malley 2009, Phil Theory Biol 1:21-45</w:t>
            </w:r>
          </w:p>
        </w:tc>
        <w:tc>
          <w:tcPr>
            <w:tcW w:type="dxa" w:w="2448"/>
            <w:shd w:fill="EEF4F8"/>
            <w:vAlign w:val="center"/>
          </w:tcPr>
          <w:p>
            <w:pPr>
              <w:spacing w:after="20"/>
            </w:pPr>
            <w:r/>
            <w:r>
              <w:rPr>
                <w:b w:val="0"/>
                <w:sz w:val="16"/>
              </w:rPr>
              <w:t>English | philosophy biology | abstract</w:t>
            </w:r>
          </w:p>
        </w:tc>
        <w:tc>
          <w:tcPr>
            <w:tcW w:type="dxa" w:w="2448"/>
            <w:shd w:fill="EEF4F8"/>
            <w:vAlign w:val="center"/>
          </w:tcPr>
          <w:p>
            <w:pPr>
              <w:spacing w:after="20"/>
            </w:pPr>
            <w:r/>
            <w:r>
              <w:rPr>
                <w:b w:val="0"/>
                <w:sz w:val="16"/>
              </w:rPr>
              <w:t>Processual, lineage/metabolism accounts of living systems.</w:t>
            </w:r>
          </w:p>
        </w:tc>
      </w:tr>
      <w:tr>
        <w:trPr>
          <w:cantSplit/>
        </w:trPr>
        <w:tc>
          <w:tcPr>
            <w:tcW w:type="dxa" w:w="2448"/>
            <w:vAlign w:val="center"/>
          </w:tcPr>
          <w:p>
            <w:pPr>
              <w:spacing w:after="20"/>
            </w:pPr>
            <w:r/>
            <w:r>
              <w:rPr>
                <w:b w:val="0"/>
                <w:sz w:val="16"/>
              </w:rPr>
              <w:t>Philosophy and histories</w:t>
            </w:r>
          </w:p>
        </w:tc>
        <w:tc>
          <w:tcPr>
            <w:tcW w:type="dxa" w:w="2448"/>
            <w:vAlign w:val="center"/>
          </w:tcPr>
          <w:p>
            <w:pPr>
              <w:spacing w:after="20"/>
            </w:pPr>
            <w:r/>
            <w:r>
              <w:rPr>
                <w:b w:val="0"/>
                <w:sz w:val="16"/>
              </w:rPr>
              <w:t>Haraway 2008, When Species Meet</w:t>
            </w:r>
          </w:p>
        </w:tc>
        <w:tc>
          <w:tcPr>
            <w:tcW w:type="dxa" w:w="2448"/>
            <w:vAlign w:val="center"/>
          </w:tcPr>
          <w:p>
            <w:pPr>
              <w:spacing w:after="20"/>
            </w:pPr>
            <w:r/>
            <w:r>
              <w:rPr>
                <w:b w:val="0"/>
                <w:sz w:val="16"/>
              </w:rPr>
              <w:t>English | STS/philosophy | book preview</w:t>
            </w:r>
          </w:p>
        </w:tc>
        <w:tc>
          <w:tcPr>
            <w:tcW w:type="dxa" w:w="2448"/>
            <w:vAlign w:val="center"/>
          </w:tcPr>
          <w:p>
            <w:pPr>
              <w:spacing w:after="20"/>
            </w:pPr>
            <w:r/>
            <w:r>
              <w:rPr>
                <w:b w:val="0"/>
                <w:sz w:val="16"/>
              </w:rPr>
              <w:t>Relational account; conceptual, not a mechanism study.</w:t>
            </w:r>
          </w:p>
        </w:tc>
      </w:tr>
    </w:tbl>
    <w:p>
      <w:pPr>
        <w:pStyle w:val="Heading1"/>
        <w:spacing w:after="120"/>
      </w:pPr>
      <w:r>
        <w:t>References</w:t>
      </w:r>
    </w:p>
    <w:p>
      <w:pPr>
        <w:spacing w:after="60"/>
        <w:ind w:left="360" w:hanging="360"/>
      </w:pPr>
      <w:r>
        <w:rPr>
          <w:sz w:val="18"/>
        </w:rPr>
        <w:t>Dupré, J., &amp; O’Malley, M. A. (2009). Varieties of living things: Life at the intersection of lineage and metabolism. Philosophy and Theory in Biology, 1, 21-45.</w:t>
      </w:r>
    </w:p>
    <w:p>
      <w:pPr>
        <w:spacing w:after="60"/>
        <w:ind w:left="360" w:hanging="360"/>
      </w:pPr>
      <w:r>
        <w:rPr>
          <w:sz w:val="18"/>
        </w:rPr>
        <w:t>Doolittle, W. F. (2017). Making evolutionary sense of Gaia. Trends in Ecology &amp; Evolution, 32, 831-842.</w:t>
      </w:r>
    </w:p>
    <w:p>
      <w:pPr>
        <w:spacing w:after="60"/>
        <w:ind w:left="360" w:hanging="360"/>
      </w:pPr>
      <w:r>
        <w:rPr>
          <w:sz w:val="18"/>
        </w:rPr>
        <w:t>Gagliano, M., Renton, M., Depczynski, M., &amp; Mancuso, S. (2014). Experience teaches plants to learn faster and forget slower in environments where it matters. Oecologia, 175, 63-72.</w:t>
      </w:r>
    </w:p>
    <w:p>
      <w:pPr>
        <w:spacing w:after="60"/>
        <w:ind w:left="360" w:hanging="360"/>
      </w:pPr>
      <w:r>
        <w:rPr>
          <w:sz w:val="18"/>
        </w:rPr>
        <w:t>Gilbert, S. F., Sapp, J., &amp; Tauber, A. I. (2012). A symbiotic view of life: We have never been individuals. Quarterly Review of Biology, 87, 325-341.</w:t>
      </w:r>
    </w:p>
    <w:p>
      <w:pPr>
        <w:spacing w:after="60"/>
        <w:ind w:left="360" w:hanging="360"/>
      </w:pPr>
      <w:r>
        <w:rPr>
          <w:sz w:val="18"/>
        </w:rPr>
        <w:t>Haraway, D. J. (2008). When Species Meet. University of Minnesota Press.</w:t>
      </w:r>
    </w:p>
    <w:p>
      <w:pPr>
        <w:spacing w:after="60"/>
        <w:ind w:left="360" w:hanging="360"/>
      </w:pPr>
      <w:r>
        <w:rPr>
          <w:sz w:val="18"/>
        </w:rPr>
        <w:t>Karst, J., Jones, M. D., &amp; Hoeksema, J. D. (2023). Positive citation bias and overinterpreted findings in mycorrhizal networks. Nature Ecology &amp; Evolution, 7.</w:t>
      </w:r>
    </w:p>
    <w:p>
      <w:pPr>
        <w:spacing w:after="60"/>
        <w:ind w:left="360" w:hanging="360"/>
      </w:pPr>
      <w:r>
        <w:rPr>
          <w:sz w:val="18"/>
        </w:rPr>
        <w:t>Kiers, E. T., et al. (2011). Reciprocal rewards stabilize cooperation in the mycorrhizal symbiosis. Science, 333, 880-882.</w:t>
      </w:r>
    </w:p>
    <w:p>
      <w:pPr>
        <w:spacing w:after="60"/>
        <w:ind w:left="360" w:hanging="360"/>
      </w:pPr>
      <w:r>
        <w:rPr>
          <w:sz w:val="18"/>
        </w:rPr>
        <w:t>Krakauer, D. C., Bertschinger, N., Olbrich, E., Ay, N., &amp; Flack, J. C. (2014). The information theory of individuality. arXiv:1412.2447.</w:t>
      </w:r>
    </w:p>
    <w:p>
      <w:pPr>
        <w:spacing w:after="60"/>
        <w:ind w:left="360" w:hanging="360"/>
      </w:pPr>
      <w:r>
        <w:rPr>
          <w:sz w:val="18"/>
        </w:rPr>
        <w:t>Lenton, T. M., &amp; Latour, B. (2018). Gaia 2.0. Science, 361, 1066-1068.</w:t>
      </w:r>
    </w:p>
    <w:p>
      <w:pPr>
        <w:spacing w:after="60"/>
        <w:ind w:left="360" w:hanging="360"/>
      </w:pPr>
      <w:r>
        <w:rPr>
          <w:sz w:val="18"/>
        </w:rPr>
        <w:t>Levin, S. A. (1998). Ecosystems and the biosphere as complex adaptive systems. Ecosystems, 1, 431-436.</w:t>
      </w:r>
    </w:p>
    <w:p>
      <w:pPr>
        <w:spacing w:after="60"/>
        <w:ind w:left="360" w:hanging="360"/>
      </w:pPr>
      <w:r>
        <w:rPr>
          <w:sz w:val="18"/>
        </w:rPr>
        <w:t>Lovelock, J. E., &amp; Margulis, L. (1974). Atmospheric homeostasis by and for the biosphere: The Gaia hypothesis. Tellus, 26, 2-10.</w:t>
      </w:r>
    </w:p>
    <w:p>
      <w:pPr>
        <w:spacing w:after="60"/>
        <w:ind w:left="360" w:hanging="360"/>
      </w:pPr>
      <w:r>
        <w:rPr>
          <w:sz w:val="18"/>
        </w:rPr>
        <w:t>Noble, I. R., &amp; Dirzo, R. (1997). Forests as human-dominated ecosystems. Science, 277, 493-496.</w:t>
      </w:r>
    </w:p>
    <w:p>
      <w:pPr>
        <w:spacing w:after="60"/>
        <w:ind w:left="360" w:hanging="360"/>
      </w:pPr>
      <w:r>
        <w:rPr>
          <w:sz w:val="18"/>
        </w:rPr>
        <w:t>Queller, D. C., &amp; Strassmann, J. E. (2009). Beyond society: The evolution of organismality. Trends in Ecology &amp; Evolution, 24, 133-139.</w:t>
      </w:r>
    </w:p>
    <w:p>
      <w:pPr>
        <w:spacing w:after="60"/>
        <w:ind w:left="360" w:hanging="360"/>
      </w:pPr>
      <w:r>
        <w:rPr>
          <w:sz w:val="18"/>
        </w:rPr>
        <w:t>Robinson, D. (2024). Mother trees, altruistic fungi, and the perils of plant personification. Trends in Plant Science.</w:t>
      </w:r>
    </w:p>
    <w:p>
      <w:pPr>
        <w:spacing w:after="60"/>
        <w:ind w:left="360" w:hanging="360"/>
      </w:pPr>
      <w:r>
        <w:rPr>
          <w:sz w:val="18"/>
        </w:rPr>
        <w:t>Simard, S. W., Perry, D. A., Jones, M. D., Myrold, D. D., Durall, D. M., &amp; Molina, R. (1997). Net transfer of carbon between ectomycorrhizal tree species in the field. Nature, 388, 579-582.</w:t>
      </w:r>
    </w:p>
    <w:p>
      <w:pPr>
        <w:spacing w:after="60"/>
        <w:ind w:left="360" w:hanging="360"/>
      </w:pPr>
      <w:r>
        <w:rPr>
          <w:sz w:val="18"/>
        </w:rPr>
        <w:t>Simard, S. W., Ryan, T. L., &amp; Perry, D. A. (2025). Response to questions about common mycorrhizal networks. Frontiers in Forests and Global Change, 7, 1512518.</w:t>
      </w:r>
    </w:p>
    <w:p>
      <w:pPr>
        <w:spacing w:after="60"/>
        <w:ind w:left="360" w:hanging="360"/>
      </w:pPr>
      <w:r>
        <w:rPr>
          <w:sz w:val="18"/>
        </w:rPr>
        <w:t>Trewavas, A. (2003). Aspects of plant intelligence. Annals of Botany, 92, 1-20.</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ptos"/>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