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9"/>
          <w:sz w:val="36"/>
          <w:szCs w:val="36"/>
        </w:rPr>
        <w:t xml:space="preserve">Planetary Alignment Round 1</w:t>
      </w:r>
    </w:p>
    <w:p>
      <w:pPr>
        <w:spacing w:after="80"/>
        <w:jc w:val="center"/>
      </w:pPr>
      <w:r>
        <w:rPr>
          <w:color w:val="2E75B6"/>
          <w:sz w:val="26"/>
          <w:szCs w:val="26"/>
        </w:rPr>
        <w:t xml:space="preserve">Completed Independent Literature Assignment</w:t>
      </w:r>
    </w:p>
    <w:p>
      <w:pPr>
        <w:spacing w:after="80"/>
        <w:jc w:val="center"/>
      </w:pPr>
      <w:r>
        <w:rPr>
          <w:i/>
          <w:iCs/>
          <w:color w:val="444444"/>
          <w:sz w:val="20"/>
          <w:szCs w:val="20"/>
        </w:rPr>
        <w:t xml:space="preserve">Research question: Forms of organization, individuality, sensing, learning, memory,</w:t>
      </w:r>
    </w:p>
    <w:p>
      <w:pPr>
        <w:spacing w:after="200"/>
        <w:jc w:val="center"/>
      </w:pPr>
      <w:r>
        <w:rPr>
          <w:i/>
          <w:iCs/>
          <w:color w:val="444444"/>
          <w:sz w:val="20"/>
          <w:szCs w:val="20"/>
        </w:rPr>
        <w:t xml:space="preserve">communication, and agency in plant–fungal relations and ecological systems</w:t>
      </w:r>
    </w:p>
    <w:p>
      <w:pPr>
        <w:pBdr>
          <w:bottom w:val="single" w:color="1F4E79" w:sz="12" w:space="1"/>
        </w:pBdr>
        <w:spacing w:after="360"/>
        <w:jc w:val="center"/>
      </w:pPr>
      <w:r>
        <w:rPr>
          <w:color w:val="666666"/>
          <w:sz w:val="18"/>
          <w:szCs w:val="18"/>
        </w:rPr>
        <w:t xml:space="preserve">Model: Grok (xAI)  •  Date: 21 September 2026  •  Live search available</w:t>
      </w:r>
    </w:p>
    <w:p>
      <w:pPr>
        <w:pStyle w:val="Heading1"/>
      </w:pPr>
      <w:r>
        <w:t xml:space="preserve">1. Scope and access</w:t>
      </w:r>
    </w:p>
    <w:p>
      <w:pPr>
        <w:spacing w:after="200"/>
      </w:pPr>
      <w:r>
        <w:t xml:space="preserve">Search terms included “common mycorrhizal network,” “CMN citation bias,” “wood-wide web critique,” “Simard response 2025,” “plant intelligence Trewavas Calvo Taiz,” “fungal electrical signaling,” “Gaia plant fungal agency,” and related ontology/detection terms. Primary sources inspected: Karst, Jones &amp; Hoeksema (2023) </w:t>
      </w:r>
      <w:r>
        <w:rPr>
          <w:i/>
          <w:iCs/>
        </w:rPr>
        <w:t xml:space="preserve">Nat. Ecol. Evol.</w:t>
      </w:r>
      <w:r>
        <w:t xml:space="preserve"> (full PDF via secondary host; abstract + summaries elsewhere); Simard, Ryan &amp; Perry (2025) </w:t>
      </w:r>
      <w:r>
        <w:rPr>
          <w:i/>
          <w:iCs/>
        </w:rPr>
        <w:t xml:space="preserve">Front. For. Glob. Change</w:t>
      </w:r>
      <w:r>
        <w:t xml:space="preserve"> (full open-access text); secondary reports and reviews of field/lab CMN studies; plant-intelligence exchanges (Trewavas 2003–2025 responses; Kingsland &amp; Taiz critiques and rebuttals); recent meta-analyses/mappings of AM CMNs (Lehmann et al. 2025; related 2025 Functional Ecology pieces); Gaia organismality discussions; and electrical/chemical fungal signaling literature.</w:t>
      </w:r>
    </w:p>
    <w:p>
      <w:pPr>
        <w:spacing w:after="200"/>
      </w:pPr>
      <w:r>
        <w:t xml:space="preserve">Access limits: paywalled full texts restricted some primary data tables; reliance on abstracts, author summaries, open PDFs, and secondary syntheses for several field studies. Significant omissions: exhaustive primary re-analysis of all isotope-transfer experiments; full original data underlying every genet map; non-English literature; and direct access to unpublished or grey literature. Live web search was available (September 2026). Model/version: Grok (xAI); date of inquiry 21 September 2026. Cross-model agreement is not independent confirmation.</w:t>
      </w:r>
    </w:p>
    <w:p>
      <w:pPr>
        <w:pStyle w:val="Heading1"/>
      </w:pPr>
      <w:r>
        <w:t xml:space="preserve">2. Three priority claims or open questions</w:t>
      </w:r>
    </w:p>
    <w:p>
      <w:pPr>
        <w:pStyle w:val="Heading2"/>
      </w:pPr>
      <w:r>
        <w:t xml:space="preserve">Claim/Question A</w:t>
      </w:r>
    </w:p>
    <w:p>
      <w:pPr>
        <w:spacing w:after="120"/>
      </w:pPr>
      <w:r>
        <w:rPr>
          <w:b/>
          <w:bCs/>
        </w:rPr>
        <w:t xml:space="preserve">CMNs are widespread in forests and mediate resource transfer that reliably increases seedling performance.</w:t>
      </w:r>
    </w:p>
    <w:p>
      <w:pPr>
        <w:spacing w:after="200"/>
      </w:pPr>
      <w:r>
        <w:t xml:space="preserve">Source/location: Karst et al. (2023) </w:t>
      </w:r>
      <w:r>
        <w:rPr>
          <w:i/>
          <w:iCs/>
        </w:rPr>
        <w:t xml:space="preserve">Nat. Ecol. Evol.</w:t>
      </w:r>
      <w:r>
        <w:t xml:space="preserve"> 7:501–511 (core evaluation of three popular claims and citation analysis); responses in Simard et al. (2025). Evidence type: systematic review of field genet-mapping (only ~5 studies, 2 tree species) and mesh/isotope experiments; citation counts showing unsupported positive claims rising. Boundary/timescale: temperate ectomycorrhizal forests, short-to-medium experimental timescales; hyphal turnover and grazing ignored or under-controlled. Alternatives: soil solution diffusion, root contact, fungal colonization effects without continuous hyphal links. Support would require fine-scale continuous mapping + transfer controls excluding non-CMN pathways across multiple biomes; weaken by further null/negative field results with adequate power; unresolved under current sparse mapping and context-dependence.</w:t>
      </w:r>
    </w:p>
    <w:p>
      <w:pPr>
        <w:pStyle w:val="Heading2"/>
      </w:pPr>
      <w:r>
        <w:t xml:space="preserve">Claim/Question B</w:t>
      </w:r>
    </w:p>
    <w:p>
      <w:pPr>
        <w:spacing w:after="120"/>
      </w:pPr>
      <w:r>
        <w:rPr>
          <w:b/>
          <w:bCs/>
        </w:rPr>
        <w:t xml:space="preserve">Mature trees preferentially transfer resources or defense signals to kin/offspring via CMNs.</w:t>
      </w:r>
    </w:p>
    <w:p>
      <w:pPr>
        <w:spacing w:after="200"/>
      </w:pPr>
      <w:r>
        <w:t xml:space="preserve">Source/location: Karst et al. (2023) (explicitly “no peer-reviewed, published evidence”); Simard et al. (2025) defend related greenhouse/field patterns and kin-recognition studies. Evidence type: absence of supporting field studies; one greenhouse kin study with alternative soil-path explanations. Boundary/timescale: forest canopy trees to seedlings, multi-year; lab timescales inadequate for forest dynamics. Alternatives: passive leakage, fungal self-interest, non-fungal signaling. Support needs controlled field isotope/defense assays with genetic relatedness and hyphal-continuity confirmation; weaken by consistent nulls; remains unresolved.</w:t>
      </w:r>
    </w:p>
    <w:p>
      <w:pPr>
        <w:pStyle w:val="Heading2"/>
      </w:pPr>
      <w:r>
        <w:t xml:space="preserve">Claim/Question C</w:t>
      </w:r>
    </w:p>
    <w:p>
      <w:pPr>
        <w:spacing w:after="120"/>
      </w:pPr>
      <w:r>
        <w:rPr>
          <w:b/>
          <w:bCs/>
        </w:rPr>
        <w:t xml:space="preserve">Plants and fungi exhibit forms of sensing, learning, memory, or distributed agency that justify intelligence/agency language without requiring brains or centralized control (including possible Gaia-scale organization).</w:t>
      </w:r>
    </w:p>
    <w:p>
      <w:pPr>
        <w:spacing w:after="200"/>
      </w:pPr>
      <w:r>
        <w:t xml:space="preserve">Source/location: Trewavas (2003 onward) and rebuttals (Protoplasma 2024/2025); Calvo et al.; Taiz/Kingsland critiques; Parise et al. (2025) on extended plant cognition via mycorrhizas; Gaia organismality papers. Evidence type: behavioral plasticity, electrical spikes, trade reciprocity, network self-organization; conceptual/definitional argument. Boundary/timescale: organism to ecosystem, developmental to ecological timescales. Alternatives: purely mechanistic tropisms or selection without representation/agency. Support via operational definitions matched to substrate + predictive experiments; weaken by successful reduction to non-cognitive mechanisms; largely unresolved pending clearer operationalizations and detection methods.</w:t>
      </w:r>
    </w:p>
    <w:p>
      <w:pPr>
        <w:pStyle w:val="Heading1"/>
      </w:pPr>
      <w:r>
        <w:t xml:space="preserve">3. Disagreement map</w:t>
      </w:r>
    </w:p>
    <w:p>
      <w:pPr>
        <w:spacing w:after="200"/>
      </w:pPr>
      <w:r>
        <w:rPr>
          <w:b/>
          <w:bCs/>
        </w:rPr>
        <w:t xml:space="preserve">Empirical: </w:t>
      </w:r>
      <w:r>
        <w:t xml:space="preserve">Field evidence for continuous, functionally important CMNs is sparse and mixed (positive, neutral, negative seedling effects roughly balanced; alternative pathways rarely fully excluded). Citation practices inflate positive interpretations over time. Lab demonstrations of transfer exist but do not scale cleanly to forests. Electrical/chemical fungal signaling is observed yet its information content and plant relevance remain contested.</w:t>
      </w:r>
    </w:p>
    <w:p>
      <w:pPr>
        <w:spacing w:after="200"/>
      </w:pPr>
      <w:r>
        <w:rPr>
          <w:b/>
          <w:bCs/>
        </w:rPr>
        <w:t xml:space="preserve">Conceptual: </w:t>
      </w:r>
      <w:r>
        <w:t xml:space="preserve">Definitions of “network,” “transfer,” “communication,” and “intelligence” diverge. Critics demand hyphal continuity + fitness benefit under field conditions; defenders accept multi-pathway evidence and contextual benefits. Detection bias favors positive media-friendly narratives and under-recognizes nulls, short timescales, or mismatched tasks (e.g., greenhouse vs. forest). Over-attribution appears in popular retellings of “mother trees”; under-recognition appears when absence of human-like traits is treated as absence of capacity. Historical exclusion of nonhuman capacities is documented but does not itself validate any specific positive claim. Gaia-scale claims amplify the same tensions at planetary boundaries.</w:t>
      </w:r>
    </w:p>
    <w:p>
      <w:pPr>
        <w:pStyle w:val="Heading1"/>
      </w:pPr>
      <w:r>
        <w:t xml:space="preserve">4. Ontology and boundary note</w:t>
      </w:r>
    </w:p>
    <w:p>
      <w:pPr>
        <w:spacing w:after="200"/>
      </w:pPr>
      <w:r>
        <w:t xml:space="preserve">Assumed ontology: relational/process view in which capacities (organization, sensing, learning, agency) are substrate-relative and scale-dependent; individuality can be distributed or nested without requiring bounded bodies or brains. Alternative: strict mechanistic/organismal individualism that treats only centralized, representational systems as intelligent or agential.</w:t>
      </w:r>
    </w:p>
    <w:p>
      <w:pPr>
        <w:spacing w:after="200"/>
      </w:pPr>
      <w:r>
        <w:t xml:space="preserve">The relational account reveals distributed trade, plasticity, and network effects that individualism obscures; individualism reveals the risk of anthropomorphic inflation and the need for precise causal partitions that relational language can blur. Disagreements about CMN function are partly empirical (testable with better mapping, controls, multi-site replication) and partly definitional (what counts as “communication” or “preferential transfer”). Intelligence/agency disputes are more conceptual: operational criteria can be tested, but metaphysical commitments about representation or purpose require argument beyond current data. Unresolved cases (e.g., whether electrical spikes implement memory-like processes) should be preserved rather than forced into consensus.</w:t>
      </w:r>
    </w:p>
    <w:p>
      <w:pPr>
        <w:pStyle w:val="Heading1"/>
      </w:pPr>
      <w:r>
        <w:t xml:space="preserve">5. Next bounded desk-research step</w:t>
      </w:r>
    </w:p>
    <w:p>
      <w:pPr>
        <w:spacing w:after="200"/>
      </w:pPr>
      <w:r>
        <w:rPr>
          <w:b/>
          <w:bCs/>
        </w:rPr>
        <w:t xml:space="preserve">One useful question: </w:t>
      </w:r>
      <w:r>
        <w:t xml:space="preserve">Across the existing corpus of mesh/isotope/genet studies, what is the quantitative distribution of effect sizes for seedling performance and resource transfer once alternative pathways and hyphal-continuity criteria are applied consistently?</w:t>
      </w:r>
    </w:p>
    <w:p>
      <w:pPr>
        <w:spacing w:after="200"/>
      </w:pPr>
      <w:r>
        <w:t xml:space="preserve">Needed: full-text extraction or author-supplied data tables from the ~30 key field experiments cited by Karst et al. and Simard et al., plus recent 2025 systematic maps of AM CMNs; standardized coding of controls, timescales, and reported alternatives. This remains desk-bound, retains dissent (positive vs. null results), and avoids manufacturing consensus while clarifying detection limits.</w:t>
      </w:r>
    </w:p>
    <w:p>
      <w:pPr>
        <w:pBdr>
          <w:top w:val="single" w:color="CCCCCC" w:sz="6" w:space="8"/>
        </w:pBdr>
        <w:spacing w:before="400"/>
      </w:pPr>
      <w:r>
        <w:rPr>
          <w:b/>
          <w:bCs/>
          <w:color w:val="666666"/>
          <w:sz w:val="20"/>
          <w:szCs w:val="20"/>
        </w:rPr>
        <w:t xml:space="preserve">Note on method and limits</w:t>
      </w:r>
    </w:p>
    <w:p>
      <w:pPr>
        <w:spacing w:after="120"/>
      </w:pPr>
      <w:r>
        <w:rPr>
          <w:i/>
          <w:iCs/>
          <w:color w:val="555555"/>
          <w:sz w:val="18"/>
          <w:szCs w:val="18"/>
        </w:rPr>
        <w:t xml:space="preserve">This report stays within the assigned 1,200-word main-text limit (excluding references and tables). It reconstructs three disputes, audits both over-attribution and under-recognition, and does not choose a verdict in advance. No fieldwork, intervention, or claim of contact or authorization is implied. Cross-model agreement is not independent empirical confirmation.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Independent literature assignment  |  21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20"/>
    </w:pPr>
    <w:r>
      <w:rPr>
        <w:rFonts w:ascii="Arial" w:cs="Arial" w:eastAsia="Arial" w:hAnsi="Arial"/>
        <w:i/>
        <w:iCs/>
        <w:color w:val="666666"/>
        <w:sz w:val="18"/>
        <w:szCs w:val="18"/>
      </w:rPr>
      <w:t xml:space="preserve">Planetary Alignment Round 1 — Grok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 w:type="paragraph" w:styleId="Title">
    <w:name w:val="Title"/>
    <w:basedOn w:val="Normal"/>
    <w:qFormat/>
    <w:pPr>
      <w:spacing w:after="120" w:before="0"/>
      <w:jc w:val="center"/>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2026-09-21T20:31:08.352Z</dcterms:created>
  <dcterms:modified xsi:type="dcterms:W3CDTF">2026-09-21T20:31:08.352Z</dcterms:modified>
</cp:coreProperties>
</file>

<file path=docProps/custom.xml><?xml version="1.0" encoding="utf-8"?>
<Properties xmlns="http://schemas.openxmlformats.org/officeDocument/2006/custom-properties" xmlns:vt="http://schemas.openxmlformats.org/officeDocument/2006/docPropsVTypes"/>
</file>