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B98A3C"/>
          <w:sz w:val="48"/>
        </w:rPr>
        <w:t>ROCKWELL METALS</w:t>
      </w:r>
    </w:p>
    <w:p>
      <w:pPr>
        <w:spacing w:after="320"/>
      </w:pPr>
      <w:r>
        <w:rPr>
          <w:rFonts w:ascii="Arial" w:hAnsi="Arial"/>
          <w:b/>
          <w:color w:val="3C404B"/>
          <w:sz w:val="28"/>
        </w:rPr>
        <w:t>User Roles, Customer &amp; Admin Workflows, and System Architecture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Design Paradigm: </w:t>
            </w:r>
            <w:r>
              <w:t>Institutional-Grade Physical Metals Exchange</w:t>
              <w:br/>
            </w:r>
            <w:r>
              <w:rPr>
                <w:b/>
              </w:rPr>
              <w:t xml:space="preserve">Aesthetic Philosophy: </w:t>
            </w:r>
            <w:r>
              <w:t>Coinbase / Bloomberg Terminal / Linear High-Density Fintech UX/UI</w:t>
              <w:br/>
            </w:r>
            <w:r>
              <w:rPr>
                <w:b/>
              </w:rPr>
              <w:t xml:space="preserve">Target Users: </w:t>
            </w:r>
            <w:r>
              <w:t>Retail &amp; Institutional Precious Metal Investors (Customer) &amp; Operations, Logistics, Fulfillment, Compliance Teams (Admin)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B98A3C"/>
          <w:sz w:val="32"/>
        </w:rPr>
        <w:t>1. Executive Overview &amp; Fintech UX/UI Philosophy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Rockwell Metals bridges the gap between tangible hard commodities (Gold, Silver, Platinum, Palladium) and modern high-velocity digital asset trading terminals. The user experience treats sovereign bullion coins and bars with the exact analytical depth, speed, and cryptographic certainty of top-tier crypto trading platforms (such as Coinbase Advanced Trade).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1.1 Core UX &amp; UI Principles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Obsidian &amp; Slate Theme: </w:t>
      </w:r>
      <w:r>
        <w:rPr>
          <w:rFonts w:ascii="Calibri" w:hAnsi="Calibri"/>
          <w:sz w:val="22"/>
        </w:rPr>
        <w:t>Deep charcoal/obsidian surfaces (#0B0E14, #121722) tailored for intensive trading and tracking without visual fatigue, complemented by gold (#D4AF4F) and emerald green (#00D26A) micro-accents.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Real-Time Telemetry &amp; Micro-Indicators: </w:t>
      </w:r>
      <w:r>
        <w:rPr>
          <w:rFonts w:ascii="Calibri" w:hAnsi="Calibri"/>
          <w:sz w:val="22"/>
        </w:rPr>
        <w:t>Live spot price walks, 'synced 2s ago' indicators, spectrometer assay confirmation chips, and pulsing live dots.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Guaranteed 120-Second Price Lock: </w:t>
      </w:r>
      <w:r>
        <w:rPr>
          <w:rFonts w:ascii="Calibri" w:hAnsi="Calibri"/>
          <w:sz w:val="22"/>
        </w:rPr>
        <w:t>Guaranteed checkout freeze eliminating slippage while maintaining direct spot correlation.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Cryptographic Vault Passport: </w:t>
      </w:r>
      <w:r>
        <w:rPr>
          <w:rFonts w:ascii="Calibri" w:hAnsi="Calibri"/>
          <w:sz w:val="22"/>
        </w:rPr>
        <w:t>Every physical item is serialized (e.g. RM-AU-BUF-7741), XRF-spectrometer assay-logged, insured under Lloyd's of London to $250M, and verifiable via automated ledger pings.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Dual Post-Purchase Paths: </w:t>
      </w:r>
      <w:r>
        <w:rPr>
          <w:rFonts w:ascii="Calibri" w:hAnsi="Calibri"/>
          <w:sz w:val="22"/>
        </w:rPr>
        <w:t>Seamless single-click choice between Allocated Segregated Vault Custody (instant liquidity, sell-back eligible) or Insured Armored Home Delivery (Brinks / Malca-Amit / FedEx Custom Critical).</w:t>
      </w:r>
    </w:p>
    <w:p>
      <w:pPr>
        <w:spacing w:before="320" w:after="120"/>
      </w:pPr>
      <w:r>
        <w:rPr>
          <w:rFonts w:ascii="Arial" w:hAnsi="Arial"/>
          <w:b/>
          <w:color w:val="B98A3C"/>
          <w:sz w:val="32"/>
        </w:rPr>
        <w:t>2. Customer / Investor Role Specification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Customer role represents retail stackers, high-net-worth investors, family offices, and institutional treasuries seeking transparent, zero-friction bullion acquisition, portfolio intelligence, and instant liquidation.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2.1 Customer Personas &amp; Tiering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Retail Stackers: </w:t>
      </w:r>
      <w:r>
        <w:rPr>
          <w:rFonts w:ascii="Calibri" w:hAnsi="Calibri"/>
          <w:sz w:val="22"/>
        </w:rPr>
        <w:t>Regular purchasers of 1/10 oz to 1 oz coins who utilize scheduled Dollar-Cost Averaging (VaultPlan) or take discreet home delivery.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High-Net-Worth Individuals (HNWIs): </w:t>
      </w:r>
      <w:r>
        <w:rPr>
          <w:rFonts w:ascii="Calibri" w:hAnsi="Calibri"/>
          <w:sz w:val="22"/>
        </w:rPr>
        <w:t>Purchasers of $50k to $500k+ in allocated 10 oz, 1 kilo, and 100 oz bars desiring segregated allocated vault custody with monthly independent audit attestations.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Institutional &amp; Corporate Treasuries: </w:t>
      </w:r>
      <w:r>
        <w:rPr>
          <w:rFonts w:ascii="Calibri" w:hAnsi="Calibri"/>
          <w:sz w:val="22"/>
        </w:rPr>
        <w:t>Entities managing precious metals on their balance sheets, requiring formal Lloyd's insurance certificates, sub-second sell-back liquidity, and automated wire settlement.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2.2 Customer End-to-End Workflows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A: Market Discovery &amp; 2-Minute Price-Locked Checkout</w:t>
        <w:br/>
        <w:t>1. Floor Exploration: The customer browses the live catalog (/market, /gold, /silver, /platinum) filtering by metal, mint, weight, and premium over spot.</w:t>
        <w:br/>
        <w:t>2. Product Deep Dive (/product/[id]): The customer configures volume discount tiers (1-4 list, 5-19 -1%, 20+ -2%), selects settlement rails (Crypto/USDC 0% fee, Bank Wire +0.4%, Card +3.9%), and toggles post-purchase custody (Vault Storage vs. Armored Delivery).</w:t>
        <w:br/>
        <w:t>3. 120-Second Lock Execution: Clicking 'Buy Now' freezes the quote for 120 seconds. Crypto settlement auto-detects on-chain transactions; wire settlement reserves allocations for 24 hours.</w:t>
        <w:br/>
        <w:t>4. Vault Passport Minting: Upon settlement confirmation, the system creates a cryptographic Vault Passport (RM-AU-[MINT]-[SERIAL]) linking the piece to the customer.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B: Portfolio Intelligence &amp; Instant Sell-Back Liquidity (/vault)</w:t>
        <w:br/>
        <w:t>1. Portfolio Overview: Customers monitor real-time total holdings valuation ($28,098 demo), all-time unrealized P/L (+4.18%), asset allocation distributions, and 30-day SVG sparklines.</w:t>
        <w:br/>
        <w:t>2. Instant Sell-Back Execution: In the Sell-Back Terminal, users select any vaulted asset to receive an instant spot-linked bid quote (held for 90s). On confirmation, funds disburse in &lt;3 minutes to verified crypto wallets or queue for same-day Fedwire.</w:t>
        <w:br/>
        <w:t>3. Automated DCA (VaultPlan): Users set recurring weekly purchases (e.g. $250/wk = ~0.10 oz gold) that dollar-cost-average directly into allocated storage.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C: Converting Vaulted Metal into Physical Delivery</w:t>
        <w:br/>
        <w:t>1. Users select specific serialized items from their /vault holding table.</w:t>
        <w:br/>
        <w:t>2. Confirm destination shipping address with 2-Factor Authentication (Passkey / WebAuthn).</w:t>
        <w:br/>
        <w:t>3. System transitions item status from 'Vaulted' to 'In Transit' and generates an armored transit manifest with live carrier tracking.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2.3 Customer Dedicated Pages &amp; Views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</w:rPr>
              <w:t>Route / Screen</w:t>
            </w:r>
          </w:p>
        </w:tc>
        <w:tc>
          <w:tcPr>
            <w:tcW w:type="dxa" w:w="6192"/>
            <w:shd w:val="clear" w:color="auto" w:fill="1E293B"/>
          </w:tcPr>
          <w:p>
            <w:r>
              <w:rPr>
                <w:b/>
                <w:color w:val="FFFFFF"/>
              </w:rPr>
              <w:t>Key Components &amp; Fintech UI Features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 (Market Bento Home)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Live spot tickers (XAU, XAG, XPT, XPD), interactive SVG timeframe chart (1D/1W/1M/1Y/ALL), real-time order fill tape, active drop countdowns, proprietary liquidity sentiment meter.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/market (Trading Floor)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Multi-faceted filter rail (Type, Mint, Weight, Premium, Availability), live sorting (Price, Premium, Year, Scarcity), aggregate market stats strip.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/gold, /silver, /platinum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Catalog hierarchies by mint, series breadcrumbs, responsive pagination (20/page), tile hover reveal cards showing assay &amp; vault readiness.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/product/[id] (Dynamic PDP)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4-angle zoomable stage, live buy box with quantity discount matrix, payment rail calculator, 120s price lock countdown, Vault Passport inspector, SKU live order stream.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/checkout/[lock_id]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High-urgency lock terminal, live price freeze timer, multi-rail payment terminal (Crypto QR, Plaid Bank Wire, Stripe Card), custody preference toggle.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/vault (Portfolio Intelligence)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Total asset valuation, live unrealized P/L ticker, asset allocation distribution bar, live holdings table with sparklines, instant sell-back terminal, VaultPlan auto-invest slider.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/vault/holdings/[serial]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Deep cryptographic Custody Passport: spectrometer purity assay report, high-res seal imagery, Lloyd's insurance certificate link, provenance chain from mint to vault bay.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/orders &amp; /orders/[id]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Visual interactive order stepper (Placed -&gt; Paid -&gt; Assayed -&gt; Allocated / Dispatched), invoice downloads, tax exports (CSV/PDF).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/settings/security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KYC/AML verification tier status (Tier 1/2/3), Passkey/WebAuthn setup, whitelisted crypto withdrawal addresses, linked bank wire accounts.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B98A3C"/>
          <w:sz w:val="32"/>
        </w:rPr>
        <w:t>3. Admin &amp; Operations Role Specification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Admin platform powers the entire backend machinery: Order Fulfillment, Physical Vault Allocation, Barcode Verification, Carrier Logistics, Inbound Customer Sell-Backs, Customer 360 CRM, and Margin Management.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3.1 Admin Sub-Roles (Role-Based Access Control)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Super Admin: </w:t>
      </w:r>
      <w:r>
        <w:rPr>
          <w:rFonts w:ascii="Calibri" w:hAnsi="Calibri"/>
          <w:sz w:val="22"/>
        </w:rPr>
        <w:t>Global configuration authority over margins, spot markups, treasury crypto wallets, banking rails, carrier contracts, and staff permissions.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Operations &amp; Vault Manager: </w:t>
      </w:r>
      <w:r>
        <w:rPr>
          <w:rFonts w:ascii="Calibri" w:hAnsi="Calibri"/>
          <w:sz w:val="22"/>
        </w:rPr>
        <w:t>Supervises mint intake, spectrometer/ultrasonic assay testing, serial number registration, vault safe bay assignments, and physical audits.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Logistics &amp; Fulfillment Lead: </w:t>
      </w:r>
      <w:r>
        <w:rPr>
          <w:rFonts w:ascii="Calibri" w:hAnsi="Calibri"/>
          <w:sz w:val="22"/>
        </w:rPr>
        <w:t>Controls the pick/pack/ship queue, tamper-evident bag barcode scanning, shipping label printing, armored carrier handoffs, and transit exceptions.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Compliance &amp; Risk Officer: </w:t>
      </w:r>
      <w:r>
        <w:rPr>
          <w:rFonts w:ascii="Calibri" w:hAnsi="Calibri"/>
          <w:sz w:val="22"/>
        </w:rPr>
        <w:t>Oversees KYC verification (Persona/Stripe Identity), FinCEN Form 8300 cash/crypto thresholds (&gt;$10k), Suspicious Activity Reports (SAR), and AML monitoring.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3.2 Admin End-to-End Operational Workflows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A: High-Velocity Order Fulfillment &amp; Armored Dispatch</w:t>
        <w:br/>
        <w:t>1. Real-Time Order Stream: Incoming orders appear in /admin/orders with audio alerts and visual badges ([PAID_USDC], [WIRE_CONFIRMED]).</w:t>
        <w:br/>
        <w:t>2. Barcode Scan &amp; Match: Fulfillment staff open /admin/fulfillment, scan order packing slips, and scan physical coin/bar serial barcodes to verify assay integrity.</w:t>
        <w:br/>
        <w:t>3. Tamper-Evident Bagging: Items are sealed into serialized Tamper-Evident Bags (TEB); the TEB seal barcode is scanned and permanently linked to the order ID.</w:t>
        <w:br/>
        <w:t>4. Armored Courier Label Generation: 1-click generation of shipping labels via integrated carrier APIs (FedEx Custom Critical, Brinks Armored, Malca-Amit) and automatic declaration of Lloyd's transit insurance.</w:t>
        <w:br/>
        <w:t>5. Driver Handoff &amp; Customer Notification: Couriers scan batch manifests upon pickup; webhooks transition status to 'Dispatched' and transmit encrypted tracking links to customers.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B: Physical Vault Allocation &amp; Passport Registration</w:t>
        <w:br/>
        <w:t>1. For orders designated 'Store in Vault', Vault Ops opens /admin/inventory/allocate.</w:t>
        <w:br/>
        <w:t>2. An unassigned serialized item is selected from intake batches, and spectrometer assay metrics (99.99% Au, 19.32 g/cm3 density) are logged.</w:t>
        <w:br/>
        <w:t>3. The physical storage bay is assigned (e.g. Vault-01 / Row-B / Shelf-04 / Slot-112).</w:t>
        <w:br/>
        <w:t>4. The customer's Vault Passport is minted and synced live to their dashboard.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Workflow C: Inbound Sell-Back Liquidity &amp; Payout Processing</w:t>
        <w:br/>
        <w:t>1. Customer sell-back requests populate in /admin/sell-backs with spot price snapshots, customer tier, and payout destination.</w:t>
        <w:br/>
        <w:t>2. Compliance checks verify KYC status and source-of-funds.</w:t>
        <w:br/>
        <w:t>3. Payouts trigger automatically via smart contract (USDC) or queue for same-day Fedwire.</w:t>
        <w:br/>
        <w:t>4. Physical serial custody reverts from customer allocation back to Rockwell treasury stock.</w:t>
      </w: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3.3 Admin Dedicated Pages &amp; Views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</w:rPr>
              <w:t>Route / Screen</w:t>
            </w:r>
          </w:p>
        </w:tc>
        <w:tc>
          <w:tcPr>
            <w:tcW w:type="dxa" w:w="6192"/>
            <w:shd w:val="clear" w:color="auto" w:fill="1E293B"/>
          </w:tcPr>
          <w:p>
            <w:r>
              <w:rPr>
                <w:b/>
                <w:color w:val="FFFFFF"/>
              </w:rPr>
              <w:t>Key Components &amp; Operations Tools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 (Command Center)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Executive dashboard: 24h GMV, net ounces traded, live spot margin meters, pending wire queue, fulfillment velocity gauge, active transit map.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/admin/orders (Omnichannel OMS)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High-density grid with multi-status filters (Pending_Payment, Paid, In_Assay, Allocated, Fulfillment_Queue, Dispatched, Delivered, Cancelled), multi-row batch actions, instant search.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/admin/orders/[id] (Deep Inspector)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 Order View: Customer 360 card, transaction receipt, payment rail breakdown, serial assigner, packing slip printer, live carrier tracking iframe, audit log.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/admin/fulfillment (Pick/Pack/Ship)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Touch/Barcode-optimized fulfillment terminal: Barcode scanner input, tamper-evident bag linker, 1-click label printer (ZPL thermal direct-link), armored pickup manifest generator.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/admin/shipments (Transit Telemetry)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Global active shipments list with live carrier polling (FedEx, Brinks, Malca-Amit), exception highlighting, insurance claim manager.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/admin/inventory (Vault Stock Registry)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Full physical inventory tracker by metal, mint, SKU, and vault location (Bay/Row/Shelf), intake scanner for incoming mint shipments, low-stock reorder triggers.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/admin/customers (Customer 360 Directory)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 CRM table: Customer name, email, phone, KYC verification status badge, lifetime volume ($), total vault balance (oz), risk rating, account freeze toggle.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/admin/customers/[id] (Customer Dossier)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Customer activity timeline, KYC identity documents (encrypted viewer), linked wallets/bank accounts, order history, communication notes, fraud risk score.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/admin/sell-backs (Inbound Liquidity Desk)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Inbound liquidation requests from customer vaults, locked bid price review, payout disbursement processor (Crypto RPC / Bank Wire batch export).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/admin/pricing-engine (Margin &amp; Spreads)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Spot markup manager: configure base premiums per mint/category, volume tier curve editor, payment surcharge manager, market volatility circuit-breaker settings.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/admin/compliance (KYC/AML Center)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Identity review queue (Stripe Identity / Persona webhooks), FinCEN Form 8300 automatic PDF generator for cash/crypto transactions &gt;$10k, OFAC sanctions list matcher.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/admin/audit-logs (Immutable Ledger)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Searchable, tamper-proof activity logs tracking every admin action (who, what, when, IP address, before/after JSON diffs).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B98A3C"/>
          <w:sz w:val="32"/>
        </w:rPr>
        <w:t>4. Data Architecture &amp; Database Schema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database architecture is designed for institutional auditability, cryptographic serial tracking, and relational data integrity.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Users: </w:t>
      </w:r>
      <w:r>
        <w:rPr>
          <w:rFonts w:ascii="Calibri" w:hAnsi="Calibri"/>
          <w:sz w:val="22"/>
        </w:rPr>
        <w:t>id, email, phone, full_name, role (CUSTOMER, SUPER_ADMIN, OPS_VAULT, LOGISTICS, COMPLIANCE), kyc_tier (TIER_1, TIER_2, TIER_3), kyc_status, two_factor_enabled, created_at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Orders: </w:t>
      </w:r>
      <w:r>
        <w:rPr>
          <w:rFonts w:ascii="Calibri" w:hAnsi="Calibri"/>
          <w:sz w:val="22"/>
        </w:rPr>
        <w:t>id (RM-ORD-XXXX), user_id, status (LOCK_INITIATED, PENDING_PAYMENT, PAID, ALLOCATED, DISPATCHED, DELIVERED, CANCELLED), total_amount_usd, spot_at_lock, locked_until, payment_method, custody_preference, created_at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OrderItems: </w:t>
      </w:r>
      <w:r>
        <w:rPr>
          <w:rFonts w:ascii="Calibri" w:hAnsi="Calibri"/>
          <w:sz w:val="22"/>
        </w:rPr>
        <w:t>id, order_id, product_id, sku, quantity, unit_price_usd, unit_premium_pct, allocated_serial_ids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VaultHoldings: </w:t>
      </w:r>
      <w:r>
        <w:rPr>
          <w:rFonts w:ascii="Calibri" w:hAnsi="Calibri"/>
          <w:sz w:val="22"/>
        </w:rPr>
        <w:t>id, user_id, order_item_id, product_id, serial_number, purity_pct, weight_oz, grade, vault_bay_location, status (VAULTED, DELIVERY_REQUESTED, TRANSIT, SOLD_BACK), last_verified_at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Shipments: </w:t>
      </w:r>
      <w:r>
        <w:rPr>
          <w:rFonts w:ascii="Calibri" w:hAnsi="Calibri"/>
          <w:sz w:val="22"/>
        </w:rPr>
        <w:t>id (RM-SHP-XXXX), order_id, carrier (BRINKS, FEDEX_PRIORITY, MALCA_AMIT), tracking_number, tamper_seal_barcode, insurance_policy_number, status, signature_name, signature_timestamp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SellBackRequests: </w:t>
      </w:r>
      <w:r>
        <w:rPr>
          <w:rFonts w:ascii="Calibri" w:hAnsi="Calibri"/>
          <w:sz w:val="22"/>
        </w:rPr>
        <w:t>id (RM-SB-XXXX), user_id, vault_holding_id, locked_bid_price, spread_pct, status (REQUESTED, APPROVED, DISBURSED, REJECTED), payout_tx_hash_or_wire_ref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AuditLogs: </w:t>
      </w:r>
      <w:r>
        <w:rPr>
          <w:rFonts w:ascii="Calibri" w:hAnsi="Calibri"/>
          <w:sz w:val="22"/>
        </w:rPr>
        <w:t>id, actor_user_id, action_type, resource_type, resource_id, before_state_json, after_state_json, ip_address, timestamp</w:t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B98A3C"/>
          <w:sz w:val="32"/>
        </w:rPr>
        <w:t>5. Phased Implementation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Phase 1 (Weeks 1-2) — Authentication &amp; RBAC Middleware: </w:t>
      </w:r>
      <w:r>
        <w:rPr>
          <w:rFonts w:ascii="Calibri" w:hAnsi="Calibri"/>
          <w:sz w:val="22"/>
        </w:rPr>
        <w:t>Deploy NextAuth / Supabase Auth with granular role claims, securing /admin and /vault routes.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Phase 2 (Weeks 3-4) — Database &amp; Order State Machine: </w:t>
      </w:r>
      <w:r>
        <w:rPr>
          <w:rFonts w:ascii="Calibri" w:hAnsi="Calibri"/>
          <w:sz w:val="22"/>
        </w:rPr>
        <w:t>PostgreSQL schema deployment with Prisma ORM; Redis TTL 120s order price-lock microservice.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Phase 3 (Weeks 5-6) — Customer Trading &amp; Vault Portal: </w:t>
      </w:r>
      <w:r>
        <w:rPr>
          <w:rFonts w:ascii="Calibri" w:hAnsi="Calibri"/>
          <w:sz w:val="22"/>
        </w:rPr>
        <w:t>Multi-rail checkout desk (Stripe + Coinbase Commerce) and interactive /vault portfolio dashboard with instant sell-back triggers.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Phase 4 (Weeks 7-8) — Admin Operations &amp; Fulfillment Terminal: </w:t>
      </w:r>
      <w:r>
        <w:rPr>
          <w:rFonts w:ascii="Calibri" w:hAnsi="Calibri"/>
          <w:sz w:val="22"/>
        </w:rPr>
        <w:t>WebSocket order stream, barcode scanning pick/pack desk, and automated armored courier API integration.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