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7942" w14:textId="66DDB338" w:rsidR="00766835" w:rsidRDefault="00766835">
      <w:r w:rsidRPr="00766835">
        <w:t>En el presente capítulo se analiza la situación actual de la organización con el objetivo de identificar las principales problemáticas relacionadas con la gestión de recursos y operaciones internas. Este análisis permite comprender el funcionamiento actual del colegio y detectar oportunidades de mejora que justifiquen el desarrollo de un sistema web de gestión.</w:t>
      </w:r>
    </w:p>
    <w:sectPr w:rsidR="00766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35"/>
    <w:rsid w:val="005150FD"/>
    <w:rsid w:val="0076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8F0B5"/>
  <w15:chartTrackingRefBased/>
  <w15:docId w15:val="{A0136856-5F48-4348-B546-5718FFC8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8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8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8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8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8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8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Campos Sepúlveda</dc:creator>
  <cp:keywords/>
  <dc:description/>
  <cp:lastModifiedBy>Belén Campos Sepúlveda</cp:lastModifiedBy>
  <cp:revision>1</cp:revision>
  <dcterms:created xsi:type="dcterms:W3CDTF">2026-03-31T03:06:00Z</dcterms:created>
  <dcterms:modified xsi:type="dcterms:W3CDTF">2026-03-31T03:07:00Z</dcterms:modified>
</cp:coreProperties>
</file>