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4BB11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ind w:left="0" w:right="0" w:firstLine="0"/>
        <w:jc w:val="center"/>
        <w:textAlignment w:val="auto"/>
        <w:outlineLvl w:val="9"/>
        <w:rPr>
          <w:rFonts w:hint="eastAsia" w:ascii="宋体" w:hAnsi="宋体" w:eastAsia="宋体" w:cs="宋体"/>
          <w:b w:val="0"/>
          <w:bCs/>
          <w:i w:val="0"/>
          <w:caps w:val="0"/>
          <w:color w:val="000000"/>
          <w:spacing w:val="0"/>
          <w:sz w:val="44"/>
          <w:szCs w:val="44"/>
          <w:shd w:val="clear" w:color="auto" w:fill="FFFFFF"/>
          <w:lang w:val="en-US" w:eastAsia="zh-CN"/>
        </w:rPr>
      </w:pPr>
      <w:bookmarkStart w:id="0" w:name="_GoBack"/>
      <w:bookmarkEnd w:id="0"/>
    </w:p>
    <w:p w14:paraId="45B5276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ind w:left="0" w:right="0" w:firstLine="0"/>
        <w:jc w:val="center"/>
        <w:textAlignment w:val="auto"/>
        <w:outlineLvl w:val="9"/>
        <w:rPr>
          <w:rFonts w:hint="eastAsia" w:ascii="宋体" w:hAnsi="宋体" w:eastAsia="宋体" w:cs="宋体"/>
          <w:b w:val="0"/>
          <w:bCs/>
          <w:i w:val="0"/>
          <w:caps w:val="0"/>
          <w:color w:val="000000"/>
          <w:spacing w:val="0"/>
          <w:sz w:val="44"/>
          <w:szCs w:val="44"/>
          <w:shd w:val="clear" w:color="auto" w:fill="FFFFFF"/>
          <w:lang w:val="en-US" w:eastAsia="zh-CN"/>
        </w:rPr>
      </w:pPr>
    </w:p>
    <w:p w14:paraId="5682272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ind w:left="0" w:right="0" w:firstLine="0"/>
        <w:jc w:val="center"/>
        <w:textAlignment w:val="auto"/>
        <w:outlineLvl w:val="9"/>
        <w:rPr>
          <w:rFonts w:hint="eastAsia" w:ascii="宋体" w:hAnsi="宋体" w:eastAsia="宋体" w:cs="宋体"/>
          <w:b w:val="0"/>
          <w:bCs/>
          <w:i w:val="0"/>
          <w:caps w:val="0"/>
          <w:color w:val="000000"/>
          <w:spacing w:val="0"/>
          <w:sz w:val="44"/>
          <w:szCs w:val="44"/>
          <w:shd w:val="clear" w:color="auto" w:fill="FFFFFF"/>
          <w:lang w:val="en-US" w:eastAsia="zh-CN"/>
        </w:rPr>
      </w:pPr>
      <w:r>
        <w:rPr>
          <w:rFonts w:hint="eastAsia" w:ascii="宋体" w:hAnsi="宋体" w:eastAsia="宋体" w:cs="宋体"/>
          <w:b w:val="0"/>
          <w:bCs/>
          <w:i w:val="0"/>
          <w:caps w:val="0"/>
          <w:color w:val="000000"/>
          <w:spacing w:val="0"/>
          <w:sz w:val="44"/>
          <w:szCs w:val="44"/>
          <w:shd w:val="clear" w:color="auto" w:fill="FFFFFF"/>
          <w:lang w:val="en-US" w:eastAsia="zh-CN"/>
        </w:rPr>
        <w:t>关于公布废止失效和延长有效期的文件的通知</w:t>
      </w:r>
    </w:p>
    <w:p w14:paraId="11BCC7CB">
      <w:pPr>
        <w:keepNext w:val="0"/>
        <w:keepLines w:val="0"/>
        <w:pageBreakBefore w:val="0"/>
        <w:widowControl/>
        <w:suppressLineNumbers w:val="0"/>
        <w:kinsoku/>
        <w:wordWrap/>
        <w:overflowPunct/>
        <w:topLinePunct w:val="0"/>
        <w:autoSpaceDE/>
        <w:autoSpaceDN/>
        <w:bidi w:val="0"/>
        <w:adjustRightInd/>
        <w:snapToGrid/>
        <w:jc w:val="center"/>
        <w:textAlignment w:val="auto"/>
        <w:rPr>
          <w:rFonts w:hint="eastAsia" w:ascii="仿宋_GB2312" w:hAnsi="仿宋_GB2312" w:eastAsia="仿宋_GB2312" w:cs="仿宋_GB2312"/>
          <w:i w:val="0"/>
          <w:caps w:val="0"/>
          <w:color w:val="auto"/>
          <w:spacing w:val="0"/>
          <w:sz w:val="32"/>
          <w:szCs w:val="32"/>
          <w:shd w:val="clear" w:color="auto" w:fill="FFFFFF"/>
          <w:lang w:val="en-US" w:eastAsia="zh-CN"/>
        </w:rPr>
      </w:pPr>
      <w:r>
        <w:rPr>
          <w:rFonts w:hint="eastAsia" w:ascii="仿宋_GB2312" w:hAnsi="仿宋_GB2312" w:eastAsia="仿宋_GB2312" w:cs="仿宋_GB2312"/>
          <w:i w:val="0"/>
          <w:caps w:val="0"/>
          <w:color w:val="auto"/>
          <w:spacing w:val="0"/>
          <w:sz w:val="32"/>
          <w:szCs w:val="32"/>
          <w:shd w:val="clear" w:color="auto" w:fill="FFFFFF"/>
          <w:lang w:val="en-US" w:eastAsia="zh-CN"/>
        </w:rPr>
        <w:t>（</w:t>
      </w:r>
      <w:r>
        <w:rPr>
          <w:rFonts w:hint="eastAsia" w:ascii="楷体_GB2312" w:hAnsi="楷体_GB2312" w:eastAsia="楷体_GB2312" w:cs="楷体_GB2312"/>
          <w:i w:val="0"/>
          <w:caps w:val="0"/>
          <w:color w:val="000000"/>
          <w:spacing w:val="0"/>
          <w:kern w:val="0"/>
          <w:sz w:val="32"/>
          <w:szCs w:val="32"/>
          <w:shd w:val="clear" w:color="auto" w:fill="FFFFFF"/>
          <w:lang w:val="en-US" w:eastAsia="zh-CN" w:bidi="ar"/>
        </w:rPr>
        <w:t>武发改规〔2018〕1号</w:t>
      </w:r>
      <w:r>
        <w:rPr>
          <w:rFonts w:hint="eastAsia" w:ascii="仿宋_GB2312" w:hAnsi="仿宋_GB2312" w:eastAsia="仿宋_GB2312" w:cs="仿宋_GB2312"/>
          <w:i w:val="0"/>
          <w:caps w:val="0"/>
          <w:color w:val="auto"/>
          <w:spacing w:val="0"/>
          <w:sz w:val="32"/>
          <w:szCs w:val="32"/>
          <w:shd w:val="clear" w:color="auto" w:fill="FFFFFF"/>
          <w:lang w:val="en-US" w:eastAsia="zh-CN"/>
        </w:rPr>
        <w:t>）</w:t>
      </w:r>
    </w:p>
    <w:p w14:paraId="73D905BC">
      <w:pPr>
        <w:keepNext w:val="0"/>
        <w:keepLines w:val="0"/>
        <w:pageBreakBefore w:val="0"/>
        <w:widowControl/>
        <w:suppressLineNumbers w:val="0"/>
        <w:kinsoku/>
        <w:wordWrap/>
        <w:overflowPunct/>
        <w:topLinePunct w:val="0"/>
        <w:autoSpaceDE/>
        <w:autoSpaceDN/>
        <w:bidi w:val="0"/>
        <w:adjustRightInd/>
        <w:snapToGrid/>
        <w:jc w:val="center"/>
        <w:textAlignment w:val="auto"/>
        <w:rPr>
          <w:rFonts w:hint="eastAsia" w:ascii="仿宋_GB2312" w:hAnsi="仿宋_GB2312" w:eastAsia="仿宋_GB2312" w:cs="仿宋_GB2312"/>
          <w:i w:val="0"/>
          <w:caps w:val="0"/>
          <w:color w:val="auto"/>
          <w:spacing w:val="0"/>
          <w:sz w:val="32"/>
          <w:szCs w:val="32"/>
          <w:shd w:val="clear" w:color="auto" w:fill="FFFFFF"/>
          <w:lang w:val="en-US" w:eastAsia="zh-CN"/>
        </w:rPr>
      </w:pPr>
    </w:p>
    <w:p w14:paraId="3A3DA24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ind w:right="0"/>
        <w:jc w:val="left"/>
        <w:textAlignment w:val="auto"/>
        <w:rPr>
          <w:rFonts w:hint="eastAsia" w:ascii="仿宋_GB2312" w:hAnsi="仿宋_GB2312" w:eastAsia="仿宋_GB2312" w:cs="仿宋_GB2312"/>
          <w:i w:val="0"/>
          <w:caps w:val="0"/>
          <w:color w:val="333333"/>
          <w:spacing w:val="0"/>
          <w:sz w:val="32"/>
          <w:szCs w:val="32"/>
          <w:shd w:val="clear" w:color="auto" w:fill="FFFFFF"/>
          <w:lang w:val="en-US" w:eastAsia="zh-CN"/>
        </w:rPr>
      </w:pPr>
      <w:r>
        <w:rPr>
          <w:rFonts w:hint="eastAsia" w:ascii="仿宋_GB2312" w:hAnsi="仿宋_GB2312" w:eastAsia="仿宋_GB2312" w:cs="仿宋_GB2312"/>
          <w:i w:val="0"/>
          <w:caps w:val="0"/>
          <w:color w:val="333333"/>
          <w:spacing w:val="0"/>
          <w:sz w:val="32"/>
          <w:szCs w:val="32"/>
          <w:shd w:val="clear" w:color="auto" w:fill="FFFFFF"/>
          <w:lang w:val="en-US" w:eastAsia="zh-CN"/>
        </w:rPr>
        <w:t>各区发改委（物价局、粮食局）、市直有关单位：</w:t>
      </w:r>
    </w:p>
    <w:p w14:paraId="35B1F1C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ind w:right="0" w:firstLine="640" w:firstLineChars="200"/>
        <w:jc w:val="left"/>
        <w:textAlignment w:val="auto"/>
        <w:rPr>
          <w:rFonts w:hint="eastAsia" w:ascii="仿宋_GB2312" w:hAnsi="仿宋_GB2312" w:eastAsia="仿宋_GB2312" w:cs="仿宋_GB2312"/>
          <w:i w:val="0"/>
          <w:caps w:val="0"/>
          <w:color w:val="333333"/>
          <w:spacing w:val="0"/>
          <w:sz w:val="32"/>
          <w:szCs w:val="32"/>
          <w:shd w:val="clear" w:color="auto" w:fill="FFFFFF"/>
          <w:lang w:val="en-US" w:eastAsia="zh-CN"/>
        </w:rPr>
      </w:pPr>
      <w:r>
        <w:rPr>
          <w:rFonts w:hint="eastAsia" w:ascii="仿宋_GB2312" w:hAnsi="仿宋_GB2312" w:eastAsia="仿宋_GB2312" w:cs="仿宋_GB2312"/>
          <w:i w:val="0"/>
          <w:caps w:val="0"/>
          <w:color w:val="333333"/>
          <w:spacing w:val="0"/>
          <w:sz w:val="32"/>
          <w:szCs w:val="32"/>
          <w:shd w:val="clear" w:color="auto" w:fill="FFFFFF"/>
          <w:lang w:val="en-US" w:eastAsia="zh-CN"/>
        </w:rPr>
        <w:t>为全面推进依法行政，加强法治机关建设，根据《湖北省行政规范性文件管理办法》（省政府令第379号）和《武汉市行政规范性文件管理》（市人民政府令第175号），市发改委对制发或者牵头制发的现行有效规范性文件、设在市发改委的各类非常设机构制发的具有规范性文件性质的文件进行了认真清理。经研究，决定对《市发展改革委、市财政局、市建委、市监察局关于加强中央投资拉动内需工程建设项目招投标工作的通知》等4件文件予以废止；对《市发展改革委、市建委、市财政局、市法制办关于做好政府投资项目BT融资建设管理的通知》等3件文件宣布失效；对《市发展改革委关于印发&lt;武汉市节能监察工作规则&gt;的通知》等8件文件延长有效期，其有效期自本《通知》发布之日起重新计算，统一定为5年。（具体目录见附件）</w:t>
      </w:r>
    </w:p>
    <w:p w14:paraId="4332864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ind w:right="0" w:firstLine="640" w:firstLineChars="200"/>
        <w:jc w:val="left"/>
        <w:textAlignment w:val="auto"/>
        <w:rPr>
          <w:rFonts w:hint="eastAsia" w:ascii="仿宋_GB2312" w:hAnsi="仿宋_GB2312" w:eastAsia="仿宋_GB2312" w:cs="仿宋_GB2312"/>
          <w:i w:val="0"/>
          <w:caps w:val="0"/>
          <w:color w:val="333333"/>
          <w:spacing w:val="0"/>
          <w:sz w:val="32"/>
          <w:szCs w:val="32"/>
          <w:shd w:val="clear" w:color="auto" w:fill="FFFFFF"/>
          <w:lang w:val="en-US" w:eastAsia="zh-CN"/>
        </w:rPr>
      </w:pPr>
    </w:p>
    <w:p w14:paraId="2CAE327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ind w:right="0" w:firstLine="640" w:firstLineChars="200"/>
        <w:jc w:val="left"/>
        <w:textAlignment w:val="auto"/>
        <w:rPr>
          <w:rFonts w:hint="eastAsia" w:ascii="仿宋_GB2312" w:hAnsi="仿宋_GB2312" w:eastAsia="仿宋_GB2312" w:cs="仿宋_GB2312"/>
          <w:i w:val="0"/>
          <w:caps w:val="0"/>
          <w:color w:val="333333"/>
          <w:spacing w:val="0"/>
          <w:sz w:val="32"/>
          <w:szCs w:val="32"/>
          <w:shd w:val="clear" w:color="auto" w:fill="FFFFFF"/>
          <w:lang w:val="en-US" w:eastAsia="zh-CN"/>
        </w:rPr>
      </w:pPr>
      <w:r>
        <w:rPr>
          <w:rFonts w:hint="eastAsia" w:ascii="仿宋_GB2312" w:hAnsi="仿宋_GB2312" w:eastAsia="仿宋_GB2312" w:cs="仿宋_GB2312"/>
          <w:i w:val="0"/>
          <w:caps w:val="0"/>
          <w:color w:val="333333"/>
          <w:spacing w:val="0"/>
          <w:sz w:val="32"/>
          <w:szCs w:val="32"/>
          <w:shd w:val="clear" w:color="auto" w:fill="FFFFFF"/>
          <w:lang w:val="en-US" w:eastAsia="zh-CN"/>
        </w:rPr>
        <w:t>附件：武汉市发改委废止、失效和延长有效期的文件目录</w:t>
      </w:r>
    </w:p>
    <w:p w14:paraId="562A046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ind w:right="0" w:firstLine="640" w:firstLineChars="200"/>
        <w:jc w:val="left"/>
        <w:textAlignment w:val="auto"/>
        <w:rPr>
          <w:rFonts w:hint="eastAsia" w:ascii="仿宋_GB2312" w:hAnsi="仿宋_GB2312" w:eastAsia="仿宋_GB2312" w:cs="仿宋_GB2312"/>
          <w:i w:val="0"/>
          <w:caps w:val="0"/>
          <w:color w:val="333333"/>
          <w:spacing w:val="0"/>
          <w:sz w:val="32"/>
          <w:szCs w:val="32"/>
          <w:shd w:val="clear" w:color="auto" w:fill="FFFFFF"/>
          <w:lang w:val="en-US" w:eastAsia="zh-CN"/>
        </w:rPr>
      </w:pPr>
    </w:p>
    <w:p w14:paraId="7130B8C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ind w:right="0"/>
        <w:jc w:val="right"/>
        <w:textAlignment w:val="auto"/>
        <w:rPr>
          <w:rFonts w:hint="eastAsia" w:ascii="仿宋_GB2312" w:hAnsi="仿宋_GB2312" w:eastAsia="仿宋_GB2312" w:cs="仿宋_GB2312"/>
          <w:i w:val="0"/>
          <w:caps w:val="0"/>
          <w:color w:val="333333"/>
          <w:spacing w:val="0"/>
          <w:sz w:val="32"/>
          <w:szCs w:val="32"/>
          <w:shd w:val="clear" w:color="auto" w:fill="FFFFFF"/>
          <w:lang w:val="en-US" w:eastAsia="zh-CN"/>
        </w:rPr>
      </w:pPr>
    </w:p>
    <w:p w14:paraId="7B44F2F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val="0"/>
        <w:overflowPunct/>
        <w:topLinePunct w:val="0"/>
        <w:autoSpaceDE/>
        <w:autoSpaceDN/>
        <w:bidi w:val="0"/>
        <w:adjustRightInd/>
        <w:snapToGrid/>
        <w:spacing w:before="0" w:beforeAutospacing="0" w:after="0" w:afterAutospacing="0"/>
        <w:ind w:right="0"/>
        <w:jc w:val="right"/>
        <w:textAlignment w:val="auto"/>
        <w:rPr>
          <w:rFonts w:hint="default" w:ascii="仿宋_GB2312" w:hAnsi="仿宋_GB2312" w:eastAsia="仿宋_GB2312" w:cs="仿宋_GB2312"/>
          <w:i w:val="0"/>
          <w:caps w:val="0"/>
          <w:color w:val="333333"/>
          <w:spacing w:val="0"/>
          <w:sz w:val="32"/>
          <w:szCs w:val="32"/>
          <w:shd w:val="clear" w:color="auto" w:fill="FFFFFF"/>
          <w:lang w:val="en-US" w:eastAsia="zh-CN"/>
        </w:rPr>
      </w:pPr>
      <w:r>
        <w:rPr>
          <w:rFonts w:hint="eastAsia" w:ascii="仿宋_GB2312" w:hAnsi="仿宋_GB2312" w:eastAsia="仿宋_GB2312" w:cs="仿宋_GB2312"/>
          <w:i w:val="0"/>
          <w:caps w:val="0"/>
          <w:color w:val="333333"/>
          <w:spacing w:val="0"/>
          <w:sz w:val="32"/>
          <w:szCs w:val="32"/>
          <w:shd w:val="clear" w:color="auto" w:fill="FFFFFF"/>
          <w:lang w:val="en-US" w:eastAsia="zh-CN"/>
        </w:rPr>
        <w:t xml:space="preserve">武汉市发展和改革委员会    </w:t>
      </w:r>
    </w:p>
    <w:p w14:paraId="39C70EB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val="0"/>
        <w:overflowPunct/>
        <w:topLinePunct w:val="0"/>
        <w:autoSpaceDE/>
        <w:autoSpaceDN/>
        <w:bidi w:val="0"/>
        <w:adjustRightInd/>
        <w:snapToGrid/>
        <w:spacing w:before="0" w:beforeAutospacing="0" w:after="0" w:afterAutospacing="0"/>
        <w:ind w:right="0"/>
        <w:jc w:val="right"/>
        <w:textAlignment w:val="auto"/>
        <w:rPr>
          <w:rFonts w:hint="default" w:ascii="仿宋_GB2312" w:hAnsi="仿宋_GB2312" w:eastAsia="仿宋_GB2312" w:cs="仿宋_GB2312"/>
          <w:i w:val="0"/>
          <w:caps w:val="0"/>
          <w:color w:val="333333"/>
          <w:spacing w:val="0"/>
          <w:sz w:val="32"/>
          <w:szCs w:val="32"/>
          <w:shd w:val="clear" w:color="auto" w:fill="FFFFFF"/>
          <w:lang w:val="en-US" w:eastAsia="zh-CN"/>
        </w:rPr>
      </w:pPr>
      <w:r>
        <w:rPr>
          <w:rFonts w:hint="eastAsia" w:ascii="仿宋_GB2312" w:hAnsi="仿宋_GB2312" w:eastAsia="仿宋_GB2312" w:cs="仿宋_GB2312"/>
          <w:i w:val="0"/>
          <w:caps w:val="0"/>
          <w:color w:val="333333"/>
          <w:spacing w:val="0"/>
          <w:sz w:val="32"/>
          <w:szCs w:val="32"/>
          <w:shd w:val="clear" w:color="auto" w:fill="FFFFFF"/>
          <w:lang w:val="en-US" w:eastAsia="zh-CN"/>
        </w:rPr>
        <w:t xml:space="preserve">2018年4月20日    </w:t>
      </w:r>
    </w:p>
    <w:p w14:paraId="72FD468B">
      <w:pPr>
        <w:widowControl/>
        <w:jc w:val="left"/>
        <w:rPr>
          <w:rFonts w:ascii="仿宋_GB2312"/>
          <w:szCs w:val="32"/>
        </w:rPr>
      </w:pPr>
      <w:r>
        <w:rPr>
          <w:rFonts w:hint="eastAsia" w:ascii="仿宋_GB2312" w:hAnsi="仿宋_GB2312" w:eastAsia="仿宋_GB2312" w:cs="仿宋_GB2312"/>
          <w:i w:val="0"/>
          <w:caps w:val="0"/>
          <w:color w:val="333333"/>
          <w:spacing w:val="0"/>
          <w:sz w:val="32"/>
          <w:szCs w:val="32"/>
          <w:shd w:val="clear" w:color="auto" w:fill="FFFFFF"/>
          <w:lang w:val="en-US" w:eastAsia="zh-CN"/>
        </w:rPr>
        <w:br w:type="page"/>
      </w:r>
    </w:p>
    <w:p w14:paraId="4952EE61">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i w:val="0"/>
          <w:caps w:val="0"/>
          <w:color w:val="333333"/>
          <w:spacing w:val="0"/>
          <w:sz w:val="32"/>
          <w:szCs w:val="32"/>
          <w:shd w:val="clear" w:color="auto" w:fill="FFFFFF"/>
          <w:lang w:val="en-US" w:eastAsia="zh-CN"/>
        </w:rPr>
      </w:pPr>
      <w:r>
        <w:rPr>
          <w:rFonts w:hint="eastAsia" w:ascii="黑体" w:hAnsi="黑体" w:eastAsia="黑体" w:cs="黑体"/>
          <w:i w:val="0"/>
          <w:caps w:val="0"/>
          <w:color w:val="333333"/>
          <w:spacing w:val="0"/>
          <w:sz w:val="32"/>
          <w:szCs w:val="32"/>
          <w:shd w:val="clear" w:color="auto" w:fill="FFFFFF"/>
          <w:lang w:val="en-US" w:eastAsia="zh-CN"/>
        </w:rPr>
        <w:t>附件</w:t>
      </w:r>
    </w:p>
    <w:p w14:paraId="5C43FDCC">
      <w:pPr>
        <w:adjustRightInd w:val="0"/>
        <w:spacing w:line="600" w:lineRule="exact"/>
        <w:jc w:val="left"/>
        <w:rPr>
          <w:rFonts w:ascii="仿宋_GB2312"/>
          <w:szCs w:val="32"/>
        </w:rPr>
      </w:pPr>
    </w:p>
    <w:p w14:paraId="14BCDA9C">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caps w:val="0"/>
          <w:color w:val="333333"/>
          <w:spacing w:val="0"/>
          <w:sz w:val="36"/>
          <w:szCs w:val="36"/>
          <w:shd w:val="clear" w:color="auto" w:fill="FFFFFF"/>
          <w:lang w:val="en-US" w:eastAsia="zh-CN"/>
        </w:rPr>
      </w:pPr>
      <w:r>
        <w:rPr>
          <w:rFonts w:hint="eastAsia" w:ascii="宋体" w:hAnsi="宋体" w:eastAsia="宋体" w:cs="宋体"/>
          <w:i w:val="0"/>
          <w:caps w:val="0"/>
          <w:color w:val="333333"/>
          <w:spacing w:val="0"/>
          <w:sz w:val="36"/>
          <w:szCs w:val="36"/>
          <w:shd w:val="clear" w:color="auto" w:fill="FFFFFF"/>
          <w:lang w:val="en-US" w:eastAsia="zh-CN"/>
        </w:rPr>
        <w:t>武汉市发改委废止、失效和延长有效期的文件目录</w:t>
      </w:r>
    </w:p>
    <w:p w14:paraId="2694ACF0">
      <w:pPr>
        <w:adjustRightInd w:val="0"/>
        <w:spacing w:line="600" w:lineRule="exact"/>
        <w:jc w:val="center"/>
        <w:rPr>
          <w:rFonts w:ascii="方正大标宋简体" w:eastAsia="方正大标宋简体"/>
          <w:sz w:val="36"/>
          <w:szCs w:val="32"/>
        </w:rPr>
      </w:pPr>
    </w:p>
    <w:tbl>
      <w:tblPr>
        <w:tblStyle w:val="7"/>
        <w:tblW w:w="5000" w:type="pct"/>
        <w:tblInd w:w="0" w:type="dxa"/>
        <w:tblLayout w:type="autofit"/>
        <w:tblCellMar>
          <w:top w:w="0" w:type="dxa"/>
          <w:left w:w="108" w:type="dxa"/>
          <w:bottom w:w="0" w:type="dxa"/>
          <w:right w:w="108" w:type="dxa"/>
        </w:tblCellMar>
      </w:tblPr>
      <w:tblGrid>
        <w:gridCol w:w="955"/>
        <w:gridCol w:w="4762"/>
        <w:gridCol w:w="3344"/>
      </w:tblGrid>
      <w:tr w14:paraId="767404E2">
        <w:trPr>
          <w:trHeight w:val="803" w:hRule="atLeast"/>
        </w:trPr>
        <w:tc>
          <w:tcPr>
            <w:tcW w:w="5000" w:type="pct"/>
            <w:gridSpan w:val="3"/>
            <w:tcBorders>
              <w:top w:val="nil"/>
              <w:left w:val="nil"/>
              <w:bottom w:val="single" w:color="auto" w:sz="4" w:space="0"/>
              <w:right w:val="nil"/>
            </w:tcBorders>
            <w:noWrap/>
            <w:vAlign w:val="center"/>
          </w:tcPr>
          <w:p w14:paraId="2351114C">
            <w:pPr>
              <w:widowControl/>
              <w:jc w:val="center"/>
              <w:rPr>
                <w:rFonts w:ascii="仿宋" w:hAnsi="仿宋" w:eastAsia="仿宋" w:cs="宋体"/>
                <w:b/>
                <w:bCs/>
                <w:color w:val="000000"/>
                <w:kern w:val="0"/>
                <w:sz w:val="36"/>
                <w:szCs w:val="36"/>
              </w:rPr>
            </w:pPr>
            <w:r>
              <w:rPr>
                <w:rFonts w:hint="eastAsia" w:ascii="仿宋" w:hAnsi="仿宋" w:eastAsia="仿宋" w:cs="宋体"/>
                <w:b/>
                <w:bCs/>
                <w:color w:val="000000"/>
                <w:kern w:val="0"/>
                <w:sz w:val="36"/>
                <w:szCs w:val="36"/>
              </w:rPr>
              <w:t>一、废止的文件（4件）</w:t>
            </w:r>
          </w:p>
        </w:tc>
      </w:tr>
      <w:tr w14:paraId="0A495BE4">
        <w:trPr>
          <w:trHeight w:val="803" w:hRule="atLeast"/>
        </w:trPr>
        <w:tc>
          <w:tcPr>
            <w:tcW w:w="527" w:type="pct"/>
            <w:tcBorders>
              <w:top w:val="nil"/>
              <w:left w:val="single" w:color="auto" w:sz="4" w:space="0"/>
              <w:bottom w:val="single" w:color="auto" w:sz="4" w:space="0"/>
              <w:right w:val="single" w:color="auto" w:sz="4" w:space="0"/>
            </w:tcBorders>
            <w:noWrap w:val="0"/>
            <w:vAlign w:val="center"/>
          </w:tcPr>
          <w:p w14:paraId="4173648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黑体" w:hAnsi="黑体" w:eastAsia="黑体" w:cs="黑体"/>
                <w:b w:val="0"/>
                <w:bCs/>
                <w:sz w:val="32"/>
                <w:szCs w:val="32"/>
                <w:lang w:eastAsia="zh-CN"/>
              </w:rPr>
            </w:pPr>
            <w:r>
              <w:rPr>
                <w:rFonts w:hint="eastAsia" w:ascii="黑体" w:hAnsi="黑体" w:eastAsia="黑体" w:cs="黑体"/>
                <w:b w:val="0"/>
                <w:bCs/>
                <w:sz w:val="32"/>
                <w:szCs w:val="32"/>
                <w:lang w:eastAsia="zh-CN"/>
              </w:rPr>
              <w:t>序号</w:t>
            </w:r>
          </w:p>
        </w:tc>
        <w:tc>
          <w:tcPr>
            <w:tcW w:w="2628" w:type="pct"/>
            <w:tcBorders>
              <w:top w:val="nil"/>
              <w:left w:val="nil"/>
              <w:bottom w:val="single" w:color="auto" w:sz="4" w:space="0"/>
              <w:right w:val="single" w:color="auto" w:sz="4" w:space="0"/>
            </w:tcBorders>
            <w:noWrap/>
            <w:vAlign w:val="center"/>
          </w:tcPr>
          <w:p w14:paraId="0BF0E88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黑体" w:hAnsi="黑体" w:eastAsia="黑体" w:cs="黑体"/>
                <w:b w:val="0"/>
                <w:bCs/>
                <w:sz w:val="32"/>
                <w:szCs w:val="32"/>
                <w:lang w:eastAsia="zh-CN"/>
              </w:rPr>
            </w:pPr>
            <w:r>
              <w:rPr>
                <w:rFonts w:hint="eastAsia" w:ascii="黑体" w:hAnsi="黑体" w:eastAsia="黑体" w:cs="黑体"/>
                <w:b w:val="0"/>
                <w:bCs/>
                <w:sz w:val="32"/>
                <w:szCs w:val="32"/>
                <w:lang w:eastAsia="zh-CN"/>
              </w:rPr>
              <w:t>文 件 名 称</w:t>
            </w:r>
          </w:p>
        </w:tc>
        <w:tc>
          <w:tcPr>
            <w:tcW w:w="1844" w:type="pct"/>
            <w:tcBorders>
              <w:top w:val="nil"/>
              <w:left w:val="nil"/>
              <w:bottom w:val="single" w:color="auto" w:sz="4" w:space="0"/>
              <w:right w:val="single" w:color="auto" w:sz="4" w:space="0"/>
            </w:tcBorders>
            <w:noWrap/>
            <w:vAlign w:val="center"/>
          </w:tcPr>
          <w:p w14:paraId="649F438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黑体" w:hAnsi="黑体" w:eastAsia="黑体" w:cs="黑体"/>
                <w:b w:val="0"/>
                <w:bCs/>
                <w:sz w:val="32"/>
                <w:szCs w:val="32"/>
                <w:lang w:eastAsia="zh-CN"/>
              </w:rPr>
            </w:pPr>
            <w:r>
              <w:rPr>
                <w:rFonts w:hint="eastAsia" w:ascii="黑体" w:hAnsi="黑体" w:eastAsia="黑体" w:cs="黑体"/>
                <w:b w:val="0"/>
                <w:bCs/>
                <w:sz w:val="32"/>
                <w:szCs w:val="32"/>
                <w:lang w:eastAsia="zh-CN"/>
              </w:rPr>
              <w:t>文   号</w:t>
            </w:r>
          </w:p>
        </w:tc>
      </w:tr>
      <w:tr w14:paraId="273ACA3F">
        <w:trPr>
          <w:trHeight w:val="803" w:hRule="atLeast"/>
        </w:trPr>
        <w:tc>
          <w:tcPr>
            <w:tcW w:w="527" w:type="pct"/>
            <w:tcBorders>
              <w:top w:val="nil"/>
              <w:left w:val="single" w:color="auto" w:sz="4" w:space="0"/>
              <w:bottom w:val="single" w:color="auto" w:sz="4" w:space="0"/>
              <w:right w:val="single" w:color="auto" w:sz="4" w:space="0"/>
            </w:tcBorders>
            <w:noWrap/>
            <w:vAlign w:val="center"/>
          </w:tcPr>
          <w:p w14:paraId="216EA30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w:t>
            </w:r>
          </w:p>
        </w:tc>
        <w:tc>
          <w:tcPr>
            <w:tcW w:w="2628" w:type="pct"/>
            <w:tcBorders>
              <w:top w:val="nil"/>
              <w:left w:val="nil"/>
              <w:bottom w:val="single" w:color="auto" w:sz="4" w:space="0"/>
              <w:right w:val="single" w:color="auto" w:sz="4" w:space="0"/>
            </w:tcBorders>
            <w:noWrap w:val="0"/>
            <w:vAlign w:val="center"/>
          </w:tcPr>
          <w:p w14:paraId="57082CA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市发展改革委、市财政局、市建委、市监察局关于加强中央投资拉动内需工程建设项目招投标工作的通知</w:t>
            </w:r>
          </w:p>
        </w:tc>
        <w:tc>
          <w:tcPr>
            <w:tcW w:w="1844" w:type="pct"/>
            <w:tcBorders>
              <w:top w:val="nil"/>
              <w:left w:val="nil"/>
              <w:bottom w:val="single" w:color="auto" w:sz="4" w:space="0"/>
              <w:right w:val="single" w:color="auto" w:sz="4" w:space="0"/>
            </w:tcBorders>
            <w:noWrap w:val="0"/>
            <w:vAlign w:val="center"/>
          </w:tcPr>
          <w:p w14:paraId="462994A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rPr>
            </w:pPr>
            <w:r>
              <w:rPr>
                <w:rFonts w:hint="eastAsia" w:ascii="宋体" w:hAnsi="宋体" w:eastAsia="宋体" w:cs="宋体"/>
                <w:sz w:val="28"/>
                <w:szCs w:val="28"/>
              </w:rPr>
              <w:t>武发改规〔2009〕1号</w:t>
            </w:r>
          </w:p>
        </w:tc>
      </w:tr>
      <w:tr w14:paraId="50DFC613">
        <w:trPr>
          <w:trHeight w:val="803" w:hRule="atLeast"/>
        </w:trPr>
        <w:tc>
          <w:tcPr>
            <w:tcW w:w="527" w:type="pct"/>
            <w:tcBorders>
              <w:top w:val="nil"/>
              <w:left w:val="single" w:color="auto" w:sz="4" w:space="0"/>
              <w:bottom w:val="single" w:color="auto" w:sz="4" w:space="0"/>
              <w:right w:val="single" w:color="auto" w:sz="4" w:space="0"/>
            </w:tcBorders>
            <w:noWrap/>
            <w:vAlign w:val="center"/>
          </w:tcPr>
          <w:p w14:paraId="7EF8CE4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w:t>
            </w:r>
          </w:p>
        </w:tc>
        <w:tc>
          <w:tcPr>
            <w:tcW w:w="2628" w:type="pct"/>
            <w:tcBorders>
              <w:top w:val="nil"/>
              <w:left w:val="nil"/>
              <w:bottom w:val="single" w:color="auto" w:sz="4" w:space="0"/>
              <w:right w:val="single" w:color="auto" w:sz="4" w:space="0"/>
            </w:tcBorders>
            <w:noWrap w:val="0"/>
            <w:vAlign w:val="center"/>
          </w:tcPr>
          <w:p w14:paraId="758853E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武汉市固定资产投资项目节能评估和审查办法</w:t>
            </w:r>
          </w:p>
        </w:tc>
        <w:tc>
          <w:tcPr>
            <w:tcW w:w="1844" w:type="pct"/>
            <w:tcBorders>
              <w:top w:val="nil"/>
              <w:left w:val="nil"/>
              <w:bottom w:val="single" w:color="auto" w:sz="4" w:space="0"/>
              <w:right w:val="single" w:color="auto" w:sz="4" w:space="0"/>
            </w:tcBorders>
            <w:noWrap w:val="0"/>
            <w:vAlign w:val="center"/>
          </w:tcPr>
          <w:p w14:paraId="4802A53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武发改规〔2011〕1号</w:t>
            </w:r>
          </w:p>
        </w:tc>
      </w:tr>
      <w:tr w14:paraId="2C56F86A">
        <w:trPr>
          <w:trHeight w:val="803" w:hRule="atLeast"/>
        </w:trPr>
        <w:tc>
          <w:tcPr>
            <w:tcW w:w="527" w:type="pct"/>
            <w:tcBorders>
              <w:top w:val="nil"/>
              <w:left w:val="single" w:color="auto" w:sz="4" w:space="0"/>
              <w:bottom w:val="single" w:color="auto" w:sz="4" w:space="0"/>
              <w:right w:val="single" w:color="auto" w:sz="4" w:space="0"/>
            </w:tcBorders>
            <w:noWrap/>
            <w:vAlign w:val="center"/>
          </w:tcPr>
          <w:p w14:paraId="3A74B87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w:t>
            </w:r>
          </w:p>
        </w:tc>
        <w:tc>
          <w:tcPr>
            <w:tcW w:w="2628" w:type="pct"/>
            <w:tcBorders>
              <w:top w:val="nil"/>
              <w:left w:val="nil"/>
              <w:bottom w:val="single" w:color="auto" w:sz="4" w:space="0"/>
              <w:right w:val="single" w:color="auto" w:sz="4" w:space="0"/>
            </w:tcBorders>
            <w:noWrap w:val="0"/>
            <w:vAlign w:val="center"/>
          </w:tcPr>
          <w:p w14:paraId="1B3B19F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市发展改革委员会关于印发武汉市政府核准投资项目管理实施办法的通知</w:t>
            </w:r>
          </w:p>
        </w:tc>
        <w:tc>
          <w:tcPr>
            <w:tcW w:w="1844" w:type="pct"/>
            <w:tcBorders>
              <w:top w:val="nil"/>
              <w:left w:val="nil"/>
              <w:bottom w:val="single" w:color="auto" w:sz="4" w:space="0"/>
              <w:right w:val="single" w:color="auto" w:sz="4" w:space="0"/>
            </w:tcBorders>
            <w:noWrap w:val="0"/>
            <w:vAlign w:val="center"/>
          </w:tcPr>
          <w:p w14:paraId="40C5147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武发改规〔2015〕2号</w:t>
            </w:r>
          </w:p>
        </w:tc>
      </w:tr>
      <w:tr w14:paraId="66B2F0C0">
        <w:trPr>
          <w:trHeight w:val="803" w:hRule="atLeast"/>
        </w:trPr>
        <w:tc>
          <w:tcPr>
            <w:tcW w:w="527" w:type="pct"/>
            <w:tcBorders>
              <w:top w:val="nil"/>
              <w:left w:val="single" w:color="auto" w:sz="4" w:space="0"/>
              <w:bottom w:val="single" w:color="auto" w:sz="4" w:space="0"/>
              <w:right w:val="single" w:color="auto" w:sz="4" w:space="0"/>
            </w:tcBorders>
            <w:noWrap/>
            <w:vAlign w:val="center"/>
          </w:tcPr>
          <w:p w14:paraId="5F41B44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w:t>
            </w:r>
          </w:p>
        </w:tc>
        <w:tc>
          <w:tcPr>
            <w:tcW w:w="2628" w:type="pct"/>
            <w:tcBorders>
              <w:top w:val="nil"/>
              <w:left w:val="nil"/>
              <w:bottom w:val="single" w:color="auto" w:sz="4" w:space="0"/>
              <w:right w:val="single" w:color="auto" w:sz="4" w:space="0"/>
            </w:tcBorders>
            <w:noWrap w:val="0"/>
            <w:vAlign w:val="center"/>
          </w:tcPr>
          <w:p w14:paraId="521F6F6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市发展改革委 市财政局关于印发武汉市战略性新兴产业专项引导基金实施（试行）办法的通知</w:t>
            </w:r>
          </w:p>
        </w:tc>
        <w:tc>
          <w:tcPr>
            <w:tcW w:w="1844" w:type="pct"/>
            <w:tcBorders>
              <w:top w:val="nil"/>
              <w:left w:val="nil"/>
              <w:bottom w:val="single" w:color="auto" w:sz="4" w:space="0"/>
              <w:right w:val="single" w:color="auto" w:sz="4" w:space="0"/>
            </w:tcBorders>
            <w:noWrap w:val="0"/>
            <w:vAlign w:val="center"/>
          </w:tcPr>
          <w:p w14:paraId="6AC0539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武发改规〔2015〕3号</w:t>
            </w:r>
          </w:p>
        </w:tc>
      </w:tr>
      <w:tr w14:paraId="07528075">
        <w:trPr>
          <w:trHeight w:val="803" w:hRule="atLeast"/>
        </w:trPr>
        <w:tc>
          <w:tcPr>
            <w:tcW w:w="5000" w:type="pct"/>
            <w:gridSpan w:val="3"/>
            <w:tcBorders>
              <w:top w:val="nil"/>
              <w:left w:val="nil"/>
              <w:bottom w:val="single" w:color="auto" w:sz="4" w:space="0"/>
              <w:right w:val="nil"/>
            </w:tcBorders>
            <w:noWrap/>
            <w:vAlign w:val="center"/>
          </w:tcPr>
          <w:p w14:paraId="3FF463DC">
            <w:pPr>
              <w:widowControl/>
              <w:jc w:val="center"/>
              <w:rPr>
                <w:rFonts w:ascii="仿宋" w:hAnsi="仿宋" w:eastAsia="仿宋" w:cs="宋体"/>
                <w:b/>
                <w:bCs/>
                <w:color w:val="000000"/>
                <w:kern w:val="0"/>
                <w:sz w:val="36"/>
                <w:szCs w:val="36"/>
              </w:rPr>
            </w:pPr>
            <w:r>
              <w:rPr>
                <w:rFonts w:hint="eastAsia" w:ascii="仿宋" w:hAnsi="仿宋" w:eastAsia="仿宋" w:cs="宋体"/>
                <w:b/>
                <w:bCs/>
                <w:color w:val="000000"/>
                <w:kern w:val="0"/>
                <w:sz w:val="36"/>
                <w:szCs w:val="36"/>
              </w:rPr>
              <w:t>二、失效的文件（3件）</w:t>
            </w:r>
          </w:p>
        </w:tc>
      </w:tr>
      <w:tr w14:paraId="146E9045">
        <w:trPr>
          <w:trHeight w:val="803" w:hRule="atLeast"/>
        </w:trPr>
        <w:tc>
          <w:tcPr>
            <w:tcW w:w="527" w:type="pct"/>
            <w:tcBorders>
              <w:top w:val="nil"/>
              <w:left w:val="single" w:color="auto" w:sz="4" w:space="0"/>
              <w:bottom w:val="single" w:color="auto" w:sz="4" w:space="0"/>
              <w:right w:val="single" w:color="auto" w:sz="4" w:space="0"/>
            </w:tcBorders>
            <w:noWrap w:val="0"/>
            <w:vAlign w:val="center"/>
          </w:tcPr>
          <w:p w14:paraId="42E9427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黑体" w:hAnsi="黑体" w:eastAsia="黑体" w:cs="黑体"/>
                <w:b w:val="0"/>
                <w:bCs/>
                <w:sz w:val="32"/>
                <w:szCs w:val="32"/>
                <w:lang w:eastAsia="zh-CN"/>
              </w:rPr>
            </w:pPr>
            <w:r>
              <w:rPr>
                <w:rFonts w:hint="eastAsia" w:ascii="黑体" w:hAnsi="黑体" w:eastAsia="黑体" w:cs="黑体"/>
                <w:b w:val="0"/>
                <w:bCs/>
                <w:sz w:val="32"/>
                <w:szCs w:val="32"/>
                <w:lang w:eastAsia="zh-CN"/>
              </w:rPr>
              <w:t>序号</w:t>
            </w:r>
          </w:p>
        </w:tc>
        <w:tc>
          <w:tcPr>
            <w:tcW w:w="2628" w:type="pct"/>
            <w:tcBorders>
              <w:top w:val="nil"/>
              <w:left w:val="nil"/>
              <w:bottom w:val="single" w:color="auto" w:sz="4" w:space="0"/>
              <w:right w:val="single" w:color="auto" w:sz="4" w:space="0"/>
            </w:tcBorders>
            <w:noWrap/>
            <w:vAlign w:val="center"/>
          </w:tcPr>
          <w:p w14:paraId="7160AEC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黑体" w:hAnsi="黑体" w:eastAsia="黑体" w:cs="黑体"/>
                <w:b w:val="0"/>
                <w:bCs/>
                <w:sz w:val="32"/>
                <w:szCs w:val="32"/>
                <w:lang w:eastAsia="zh-CN"/>
              </w:rPr>
            </w:pPr>
            <w:r>
              <w:rPr>
                <w:rFonts w:hint="eastAsia" w:ascii="黑体" w:hAnsi="黑体" w:eastAsia="黑体" w:cs="黑体"/>
                <w:b w:val="0"/>
                <w:bCs/>
                <w:sz w:val="32"/>
                <w:szCs w:val="32"/>
                <w:lang w:eastAsia="zh-CN"/>
              </w:rPr>
              <w:t>文 件 名 称</w:t>
            </w:r>
          </w:p>
        </w:tc>
        <w:tc>
          <w:tcPr>
            <w:tcW w:w="1844" w:type="pct"/>
            <w:tcBorders>
              <w:top w:val="nil"/>
              <w:left w:val="nil"/>
              <w:bottom w:val="single" w:color="auto" w:sz="4" w:space="0"/>
              <w:right w:val="single" w:color="auto" w:sz="4" w:space="0"/>
            </w:tcBorders>
            <w:noWrap/>
            <w:vAlign w:val="center"/>
          </w:tcPr>
          <w:p w14:paraId="11FF337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黑体" w:hAnsi="黑体" w:eastAsia="黑体" w:cs="黑体"/>
                <w:b w:val="0"/>
                <w:bCs/>
                <w:sz w:val="32"/>
                <w:szCs w:val="32"/>
                <w:lang w:eastAsia="zh-CN"/>
              </w:rPr>
            </w:pPr>
            <w:r>
              <w:rPr>
                <w:rFonts w:hint="eastAsia" w:ascii="黑体" w:hAnsi="黑体" w:eastAsia="黑体" w:cs="黑体"/>
                <w:b w:val="0"/>
                <w:bCs/>
                <w:sz w:val="32"/>
                <w:szCs w:val="32"/>
                <w:lang w:eastAsia="zh-CN"/>
              </w:rPr>
              <w:t>文   号</w:t>
            </w:r>
          </w:p>
        </w:tc>
      </w:tr>
      <w:tr w14:paraId="040360BC">
        <w:trPr>
          <w:trHeight w:val="803" w:hRule="atLeast"/>
        </w:trPr>
        <w:tc>
          <w:tcPr>
            <w:tcW w:w="527" w:type="pct"/>
            <w:tcBorders>
              <w:top w:val="nil"/>
              <w:left w:val="single" w:color="auto" w:sz="4" w:space="0"/>
              <w:bottom w:val="single" w:color="auto" w:sz="4" w:space="0"/>
              <w:right w:val="single" w:color="auto" w:sz="4" w:space="0"/>
            </w:tcBorders>
            <w:noWrap/>
            <w:vAlign w:val="center"/>
          </w:tcPr>
          <w:p w14:paraId="374B3A4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w:t>
            </w:r>
          </w:p>
        </w:tc>
        <w:tc>
          <w:tcPr>
            <w:tcW w:w="2628" w:type="pct"/>
            <w:tcBorders>
              <w:top w:val="nil"/>
              <w:left w:val="nil"/>
              <w:bottom w:val="single" w:color="auto" w:sz="4" w:space="0"/>
              <w:right w:val="single" w:color="auto" w:sz="4" w:space="0"/>
            </w:tcBorders>
            <w:noWrap w:val="0"/>
            <w:vAlign w:val="center"/>
          </w:tcPr>
          <w:p w14:paraId="22FCDEC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市发展改革委、市建委、市财政局、市法制办关于做好政府投资项目BT融资建设管理的通知</w:t>
            </w:r>
          </w:p>
        </w:tc>
        <w:tc>
          <w:tcPr>
            <w:tcW w:w="1844" w:type="pct"/>
            <w:tcBorders>
              <w:top w:val="nil"/>
              <w:left w:val="nil"/>
              <w:bottom w:val="single" w:color="auto" w:sz="4" w:space="0"/>
              <w:right w:val="single" w:color="auto" w:sz="4" w:space="0"/>
            </w:tcBorders>
            <w:noWrap w:val="0"/>
            <w:vAlign w:val="center"/>
          </w:tcPr>
          <w:p w14:paraId="4C167D9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武发改城建〔2008〕627号</w:t>
            </w:r>
          </w:p>
        </w:tc>
      </w:tr>
      <w:tr w14:paraId="5262EF61">
        <w:trPr>
          <w:trHeight w:val="803" w:hRule="atLeast"/>
        </w:trPr>
        <w:tc>
          <w:tcPr>
            <w:tcW w:w="527" w:type="pct"/>
            <w:tcBorders>
              <w:top w:val="nil"/>
              <w:left w:val="single" w:color="auto" w:sz="4" w:space="0"/>
              <w:bottom w:val="single" w:color="auto" w:sz="4" w:space="0"/>
              <w:right w:val="single" w:color="auto" w:sz="4" w:space="0"/>
            </w:tcBorders>
            <w:noWrap/>
            <w:vAlign w:val="center"/>
          </w:tcPr>
          <w:p w14:paraId="77CCA3E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w:t>
            </w:r>
          </w:p>
        </w:tc>
        <w:tc>
          <w:tcPr>
            <w:tcW w:w="2628" w:type="pct"/>
            <w:tcBorders>
              <w:top w:val="nil"/>
              <w:left w:val="nil"/>
              <w:bottom w:val="single" w:color="auto" w:sz="4" w:space="0"/>
              <w:right w:val="single" w:color="auto" w:sz="4" w:space="0"/>
            </w:tcBorders>
            <w:noWrap w:val="0"/>
            <w:vAlign w:val="center"/>
          </w:tcPr>
          <w:p w14:paraId="124DAB2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市发展改革委关于印发《武汉市财政基本建设资金项目代建制实施细则（修订稿）》的通知</w:t>
            </w:r>
          </w:p>
        </w:tc>
        <w:tc>
          <w:tcPr>
            <w:tcW w:w="1844" w:type="pct"/>
            <w:tcBorders>
              <w:top w:val="nil"/>
              <w:left w:val="nil"/>
              <w:bottom w:val="single" w:color="auto" w:sz="4" w:space="0"/>
              <w:right w:val="single" w:color="auto" w:sz="4" w:space="0"/>
            </w:tcBorders>
            <w:noWrap w:val="0"/>
            <w:vAlign w:val="center"/>
          </w:tcPr>
          <w:p w14:paraId="3F603F6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武发改规〔2011〕2号</w:t>
            </w:r>
          </w:p>
        </w:tc>
      </w:tr>
      <w:tr w14:paraId="18677310">
        <w:trPr>
          <w:trHeight w:val="803" w:hRule="atLeast"/>
        </w:trPr>
        <w:tc>
          <w:tcPr>
            <w:tcW w:w="527" w:type="pct"/>
            <w:tcBorders>
              <w:top w:val="nil"/>
              <w:left w:val="single" w:color="auto" w:sz="4" w:space="0"/>
              <w:bottom w:val="single" w:color="auto" w:sz="4" w:space="0"/>
              <w:right w:val="single" w:color="auto" w:sz="4" w:space="0"/>
            </w:tcBorders>
            <w:noWrap/>
            <w:vAlign w:val="center"/>
          </w:tcPr>
          <w:p w14:paraId="33AA9FF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w:t>
            </w:r>
          </w:p>
        </w:tc>
        <w:tc>
          <w:tcPr>
            <w:tcW w:w="2628" w:type="pct"/>
            <w:tcBorders>
              <w:top w:val="nil"/>
              <w:left w:val="nil"/>
              <w:bottom w:val="single" w:color="auto" w:sz="4" w:space="0"/>
              <w:right w:val="single" w:color="auto" w:sz="4" w:space="0"/>
            </w:tcBorders>
            <w:noWrap w:val="0"/>
            <w:vAlign w:val="center"/>
          </w:tcPr>
          <w:p w14:paraId="10CF59D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关于印发《重大固定资产投资项目社会稳定风险评估工作细则》的通知</w:t>
            </w:r>
          </w:p>
        </w:tc>
        <w:tc>
          <w:tcPr>
            <w:tcW w:w="1844" w:type="pct"/>
            <w:tcBorders>
              <w:top w:val="nil"/>
              <w:left w:val="nil"/>
              <w:bottom w:val="single" w:color="auto" w:sz="4" w:space="0"/>
              <w:right w:val="single" w:color="auto" w:sz="4" w:space="0"/>
            </w:tcBorders>
            <w:noWrap w:val="0"/>
            <w:vAlign w:val="center"/>
          </w:tcPr>
          <w:p w14:paraId="237E838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武发改规〔2013〕1号</w:t>
            </w:r>
          </w:p>
        </w:tc>
      </w:tr>
      <w:tr w14:paraId="393D3D56">
        <w:trPr>
          <w:trHeight w:val="803" w:hRule="atLeast"/>
        </w:trPr>
        <w:tc>
          <w:tcPr>
            <w:tcW w:w="5000" w:type="pct"/>
            <w:gridSpan w:val="3"/>
            <w:tcBorders>
              <w:top w:val="nil"/>
              <w:left w:val="nil"/>
              <w:bottom w:val="single" w:color="auto" w:sz="4" w:space="0"/>
              <w:right w:val="nil"/>
            </w:tcBorders>
            <w:noWrap/>
            <w:vAlign w:val="center"/>
          </w:tcPr>
          <w:p w14:paraId="055CB98D">
            <w:pPr>
              <w:widowControl/>
              <w:jc w:val="center"/>
              <w:rPr>
                <w:rFonts w:ascii="仿宋" w:hAnsi="仿宋" w:eastAsia="仿宋" w:cs="宋体"/>
                <w:b/>
                <w:bCs/>
                <w:color w:val="000000"/>
                <w:kern w:val="0"/>
                <w:sz w:val="36"/>
                <w:szCs w:val="36"/>
              </w:rPr>
            </w:pPr>
            <w:r>
              <w:rPr>
                <w:rFonts w:hint="eastAsia" w:ascii="仿宋" w:hAnsi="仿宋" w:eastAsia="仿宋" w:cs="宋体"/>
                <w:b/>
                <w:bCs/>
                <w:color w:val="000000"/>
                <w:kern w:val="0"/>
                <w:sz w:val="36"/>
                <w:szCs w:val="36"/>
              </w:rPr>
              <w:t>三、延长有效期的文件（8件）</w:t>
            </w:r>
          </w:p>
        </w:tc>
      </w:tr>
      <w:tr w14:paraId="770DCCF6">
        <w:trPr>
          <w:trHeight w:val="803" w:hRule="atLeast"/>
        </w:trPr>
        <w:tc>
          <w:tcPr>
            <w:tcW w:w="527" w:type="pct"/>
            <w:tcBorders>
              <w:top w:val="nil"/>
              <w:left w:val="single" w:color="auto" w:sz="4" w:space="0"/>
              <w:bottom w:val="single" w:color="auto" w:sz="4" w:space="0"/>
              <w:right w:val="single" w:color="auto" w:sz="4" w:space="0"/>
            </w:tcBorders>
            <w:noWrap w:val="0"/>
            <w:vAlign w:val="center"/>
          </w:tcPr>
          <w:p w14:paraId="2DFCB10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黑体" w:hAnsi="黑体" w:eastAsia="黑体" w:cs="黑体"/>
                <w:b w:val="0"/>
                <w:bCs/>
                <w:sz w:val="32"/>
                <w:szCs w:val="32"/>
                <w:lang w:eastAsia="zh-CN"/>
              </w:rPr>
            </w:pPr>
            <w:r>
              <w:rPr>
                <w:rFonts w:hint="eastAsia" w:ascii="黑体" w:hAnsi="黑体" w:eastAsia="黑体" w:cs="黑体"/>
                <w:b w:val="0"/>
                <w:bCs/>
                <w:sz w:val="32"/>
                <w:szCs w:val="32"/>
                <w:lang w:eastAsia="zh-CN"/>
              </w:rPr>
              <w:t>序号</w:t>
            </w:r>
          </w:p>
        </w:tc>
        <w:tc>
          <w:tcPr>
            <w:tcW w:w="2628" w:type="pct"/>
            <w:tcBorders>
              <w:top w:val="nil"/>
              <w:left w:val="nil"/>
              <w:bottom w:val="single" w:color="auto" w:sz="4" w:space="0"/>
              <w:right w:val="single" w:color="auto" w:sz="4" w:space="0"/>
            </w:tcBorders>
            <w:noWrap/>
            <w:vAlign w:val="center"/>
          </w:tcPr>
          <w:p w14:paraId="268E21B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黑体" w:hAnsi="黑体" w:eastAsia="黑体" w:cs="黑体"/>
                <w:b w:val="0"/>
                <w:bCs/>
                <w:sz w:val="32"/>
                <w:szCs w:val="32"/>
                <w:lang w:eastAsia="zh-CN"/>
              </w:rPr>
            </w:pPr>
            <w:r>
              <w:rPr>
                <w:rFonts w:hint="eastAsia" w:ascii="黑体" w:hAnsi="黑体" w:eastAsia="黑体" w:cs="黑体"/>
                <w:b w:val="0"/>
                <w:bCs/>
                <w:sz w:val="32"/>
                <w:szCs w:val="32"/>
                <w:lang w:eastAsia="zh-CN"/>
              </w:rPr>
              <w:t>文 件 名 称</w:t>
            </w:r>
          </w:p>
        </w:tc>
        <w:tc>
          <w:tcPr>
            <w:tcW w:w="1844" w:type="pct"/>
            <w:tcBorders>
              <w:top w:val="nil"/>
              <w:left w:val="nil"/>
              <w:bottom w:val="single" w:color="auto" w:sz="4" w:space="0"/>
              <w:right w:val="single" w:color="auto" w:sz="4" w:space="0"/>
            </w:tcBorders>
            <w:noWrap/>
            <w:vAlign w:val="center"/>
          </w:tcPr>
          <w:p w14:paraId="4F56CA5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黑体" w:hAnsi="黑体" w:eastAsia="黑体" w:cs="黑体"/>
                <w:b w:val="0"/>
                <w:bCs/>
                <w:sz w:val="32"/>
                <w:szCs w:val="32"/>
                <w:lang w:eastAsia="zh-CN"/>
              </w:rPr>
            </w:pPr>
            <w:r>
              <w:rPr>
                <w:rFonts w:hint="eastAsia" w:ascii="黑体" w:hAnsi="黑体" w:eastAsia="黑体" w:cs="黑体"/>
                <w:b w:val="0"/>
                <w:bCs/>
                <w:sz w:val="32"/>
                <w:szCs w:val="32"/>
                <w:lang w:eastAsia="zh-CN"/>
              </w:rPr>
              <w:t>文   号</w:t>
            </w:r>
          </w:p>
        </w:tc>
      </w:tr>
      <w:tr w14:paraId="00261AC1">
        <w:trPr>
          <w:trHeight w:val="803" w:hRule="atLeast"/>
        </w:trPr>
        <w:tc>
          <w:tcPr>
            <w:tcW w:w="527" w:type="pct"/>
            <w:tcBorders>
              <w:top w:val="nil"/>
              <w:left w:val="single" w:color="auto" w:sz="4" w:space="0"/>
              <w:bottom w:val="single" w:color="auto" w:sz="4" w:space="0"/>
              <w:right w:val="single" w:color="auto" w:sz="4" w:space="0"/>
            </w:tcBorders>
            <w:noWrap/>
            <w:vAlign w:val="center"/>
          </w:tcPr>
          <w:p w14:paraId="7DF73E0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w:t>
            </w:r>
          </w:p>
        </w:tc>
        <w:tc>
          <w:tcPr>
            <w:tcW w:w="2628" w:type="pct"/>
            <w:tcBorders>
              <w:top w:val="nil"/>
              <w:left w:val="nil"/>
              <w:bottom w:val="single" w:color="auto" w:sz="4" w:space="0"/>
              <w:right w:val="single" w:color="auto" w:sz="4" w:space="0"/>
            </w:tcBorders>
            <w:noWrap w:val="0"/>
            <w:vAlign w:val="center"/>
          </w:tcPr>
          <w:p w14:paraId="5DA53DD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市改革改革委关于印发《武汉市节能监察工作规则》的通知</w:t>
            </w:r>
          </w:p>
        </w:tc>
        <w:tc>
          <w:tcPr>
            <w:tcW w:w="1844" w:type="pct"/>
            <w:tcBorders>
              <w:top w:val="nil"/>
              <w:left w:val="nil"/>
              <w:bottom w:val="single" w:color="auto" w:sz="4" w:space="0"/>
              <w:right w:val="single" w:color="auto" w:sz="4" w:space="0"/>
            </w:tcBorders>
            <w:noWrap w:val="0"/>
            <w:vAlign w:val="center"/>
          </w:tcPr>
          <w:p w14:paraId="5F6553C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武发改规〔2012〕1号</w:t>
            </w:r>
          </w:p>
        </w:tc>
      </w:tr>
      <w:tr w14:paraId="75CB1537">
        <w:trPr>
          <w:trHeight w:val="803" w:hRule="atLeast"/>
        </w:trPr>
        <w:tc>
          <w:tcPr>
            <w:tcW w:w="527" w:type="pct"/>
            <w:tcBorders>
              <w:top w:val="nil"/>
              <w:left w:val="single" w:color="auto" w:sz="4" w:space="0"/>
              <w:bottom w:val="single" w:color="auto" w:sz="4" w:space="0"/>
              <w:right w:val="single" w:color="auto" w:sz="4" w:space="0"/>
            </w:tcBorders>
            <w:noWrap/>
            <w:vAlign w:val="center"/>
          </w:tcPr>
          <w:p w14:paraId="5915EA2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w:t>
            </w:r>
          </w:p>
        </w:tc>
        <w:tc>
          <w:tcPr>
            <w:tcW w:w="2628" w:type="pct"/>
            <w:tcBorders>
              <w:top w:val="nil"/>
              <w:left w:val="nil"/>
              <w:bottom w:val="single" w:color="auto" w:sz="4" w:space="0"/>
              <w:right w:val="single" w:color="auto" w:sz="4" w:space="0"/>
            </w:tcBorders>
            <w:noWrap w:val="0"/>
            <w:vAlign w:val="center"/>
          </w:tcPr>
          <w:p w14:paraId="5A60F46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市发改委、市财政局关于印发武汉市对口支援与帮扶项目资金管理暂行办法的通知</w:t>
            </w:r>
          </w:p>
        </w:tc>
        <w:tc>
          <w:tcPr>
            <w:tcW w:w="1844" w:type="pct"/>
            <w:tcBorders>
              <w:top w:val="nil"/>
              <w:left w:val="nil"/>
              <w:bottom w:val="single" w:color="auto" w:sz="4" w:space="0"/>
              <w:right w:val="single" w:color="auto" w:sz="4" w:space="0"/>
            </w:tcBorders>
            <w:noWrap w:val="0"/>
            <w:vAlign w:val="center"/>
          </w:tcPr>
          <w:p w14:paraId="1EE7563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武发改规〔2014〕1号</w:t>
            </w:r>
          </w:p>
        </w:tc>
      </w:tr>
      <w:tr w14:paraId="7582028C">
        <w:trPr>
          <w:trHeight w:val="803" w:hRule="atLeast"/>
        </w:trPr>
        <w:tc>
          <w:tcPr>
            <w:tcW w:w="527" w:type="pct"/>
            <w:tcBorders>
              <w:top w:val="nil"/>
              <w:left w:val="single" w:color="auto" w:sz="4" w:space="0"/>
              <w:bottom w:val="single" w:color="auto" w:sz="4" w:space="0"/>
              <w:right w:val="single" w:color="auto" w:sz="4" w:space="0"/>
            </w:tcBorders>
            <w:noWrap/>
            <w:vAlign w:val="center"/>
          </w:tcPr>
          <w:p w14:paraId="425B457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w:t>
            </w:r>
          </w:p>
        </w:tc>
        <w:tc>
          <w:tcPr>
            <w:tcW w:w="2628" w:type="pct"/>
            <w:tcBorders>
              <w:top w:val="nil"/>
              <w:left w:val="nil"/>
              <w:bottom w:val="single" w:color="auto" w:sz="4" w:space="0"/>
              <w:right w:val="single" w:color="auto" w:sz="4" w:space="0"/>
            </w:tcBorders>
            <w:noWrap w:val="0"/>
            <w:vAlign w:val="center"/>
          </w:tcPr>
          <w:p w14:paraId="5CFD333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关于印发《武汉市发展改革委委托投资咨询评估管理暂行办法》的通知</w:t>
            </w:r>
          </w:p>
        </w:tc>
        <w:tc>
          <w:tcPr>
            <w:tcW w:w="1844" w:type="pct"/>
            <w:tcBorders>
              <w:top w:val="nil"/>
              <w:left w:val="nil"/>
              <w:bottom w:val="single" w:color="auto" w:sz="4" w:space="0"/>
              <w:right w:val="single" w:color="auto" w:sz="4" w:space="0"/>
            </w:tcBorders>
            <w:noWrap w:val="0"/>
            <w:vAlign w:val="center"/>
          </w:tcPr>
          <w:p w14:paraId="7046F88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武发改规〔2015〕1号</w:t>
            </w:r>
          </w:p>
        </w:tc>
      </w:tr>
      <w:tr w14:paraId="3DFB7EC8">
        <w:trPr>
          <w:trHeight w:val="803" w:hRule="atLeast"/>
        </w:trPr>
        <w:tc>
          <w:tcPr>
            <w:tcW w:w="527" w:type="pct"/>
            <w:tcBorders>
              <w:top w:val="nil"/>
              <w:left w:val="single" w:color="auto" w:sz="4" w:space="0"/>
              <w:bottom w:val="single" w:color="auto" w:sz="4" w:space="0"/>
              <w:right w:val="single" w:color="auto" w:sz="4" w:space="0"/>
            </w:tcBorders>
            <w:noWrap/>
            <w:vAlign w:val="center"/>
          </w:tcPr>
          <w:p w14:paraId="2BCC08E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w:t>
            </w:r>
          </w:p>
        </w:tc>
        <w:tc>
          <w:tcPr>
            <w:tcW w:w="2628" w:type="pct"/>
            <w:tcBorders>
              <w:top w:val="nil"/>
              <w:left w:val="nil"/>
              <w:bottom w:val="single" w:color="auto" w:sz="4" w:space="0"/>
              <w:right w:val="single" w:color="auto" w:sz="4" w:space="0"/>
            </w:tcBorders>
            <w:noWrap w:val="0"/>
            <w:vAlign w:val="center"/>
          </w:tcPr>
          <w:p w14:paraId="627620D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武汉市公共机构合同能源管理实施办法（暂行）</w:t>
            </w:r>
          </w:p>
        </w:tc>
        <w:tc>
          <w:tcPr>
            <w:tcW w:w="1844" w:type="pct"/>
            <w:tcBorders>
              <w:top w:val="nil"/>
              <w:left w:val="nil"/>
              <w:bottom w:val="single" w:color="auto" w:sz="4" w:space="0"/>
              <w:right w:val="single" w:color="auto" w:sz="4" w:space="0"/>
            </w:tcBorders>
            <w:noWrap w:val="0"/>
            <w:vAlign w:val="center"/>
          </w:tcPr>
          <w:p w14:paraId="6D5037F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武发改规〔2016〕1号</w:t>
            </w:r>
          </w:p>
        </w:tc>
      </w:tr>
      <w:tr w14:paraId="3E61FB4B">
        <w:trPr>
          <w:trHeight w:val="803" w:hRule="atLeast"/>
        </w:trPr>
        <w:tc>
          <w:tcPr>
            <w:tcW w:w="527" w:type="pct"/>
            <w:tcBorders>
              <w:top w:val="nil"/>
              <w:left w:val="single" w:color="auto" w:sz="4" w:space="0"/>
              <w:bottom w:val="single" w:color="auto" w:sz="4" w:space="0"/>
              <w:right w:val="single" w:color="auto" w:sz="4" w:space="0"/>
            </w:tcBorders>
            <w:noWrap/>
            <w:vAlign w:val="center"/>
          </w:tcPr>
          <w:p w14:paraId="6055B21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w:t>
            </w:r>
          </w:p>
        </w:tc>
        <w:tc>
          <w:tcPr>
            <w:tcW w:w="2628" w:type="pct"/>
            <w:tcBorders>
              <w:top w:val="nil"/>
              <w:left w:val="nil"/>
              <w:bottom w:val="single" w:color="auto" w:sz="4" w:space="0"/>
              <w:right w:val="single" w:color="auto" w:sz="4" w:space="0"/>
            </w:tcBorders>
            <w:noWrap w:val="0"/>
            <w:vAlign w:val="center"/>
          </w:tcPr>
          <w:p w14:paraId="25D53FD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市发展改革委关于印发武汉市粮食质量安全事故（事件）应急处置预案的通知</w:t>
            </w:r>
          </w:p>
        </w:tc>
        <w:tc>
          <w:tcPr>
            <w:tcW w:w="1844" w:type="pct"/>
            <w:tcBorders>
              <w:top w:val="nil"/>
              <w:left w:val="nil"/>
              <w:bottom w:val="single" w:color="auto" w:sz="4" w:space="0"/>
              <w:right w:val="single" w:color="auto" w:sz="4" w:space="0"/>
            </w:tcBorders>
            <w:noWrap w:val="0"/>
            <w:vAlign w:val="center"/>
          </w:tcPr>
          <w:p w14:paraId="1589EE8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武发改粮管〔2016〕406号</w:t>
            </w:r>
          </w:p>
        </w:tc>
      </w:tr>
      <w:tr w14:paraId="578BA58A">
        <w:trPr>
          <w:trHeight w:val="803" w:hRule="atLeast"/>
        </w:trPr>
        <w:tc>
          <w:tcPr>
            <w:tcW w:w="527" w:type="pct"/>
            <w:tcBorders>
              <w:top w:val="nil"/>
              <w:left w:val="single" w:color="auto" w:sz="4" w:space="0"/>
              <w:bottom w:val="single" w:color="auto" w:sz="4" w:space="0"/>
              <w:right w:val="single" w:color="auto" w:sz="4" w:space="0"/>
            </w:tcBorders>
            <w:noWrap/>
            <w:vAlign w:val="center"/>
          </w:tcPr>
          <w:p w14:paraId="34CD27F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w:t>
            </w:r>
          </w:p>
        </w:tc>
        <w:tc>
          <w:tcPr>
            <w:tcW w:w="2628" w:type="pct"/>
            <w:tcBorders>
              <w:top w:val="nil"/>
              <w:left w:val="nil"/>
              <w:bottom w:val="single" w:color="auto" w:sz="4" w:space="0"/>
              <w:right w:val="single" w:color="auto" w:sz="4" w:space="0"/>
            </w:tcBorders>
            <w:noWrap w:val="0"/>
            <w:vAlign w:val="center"/>
          </w:tcPr>
          <w:p w14:paraId="08070A0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市发展改革委 市财政关于印发武汉市小微服务业企业进入规模服务业企业政策兑现资金管理办法的通知</w:t>
            </w:r>
          </w:p>
        </w:tc>
        <w:tc>
          <w:tcPr>
            <w:tcW w:w="1844" w:type="pct"/>
            <w:tcBorders>
              <w:top w:val="nil"/>
              <w:left w:val="nil"/>
              <w:bottom w:val="single" w:color="auto" w:sz="4" w:space="0"/>
              <w:right w:val="single" w:color="auto" w:sz="4" w:space="0"/>
            </w:tcBorders>
            <w:noWrap w:val="0"/>
            <w:vAlign w:val="center"/>
          </w:tcPr>
          <w:p w14:paraId="235EB9F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武发改规〔2017〕1号</w:t>
            </w:r>
          </w:p>
        </w:tc>
      </w:tr>
      <w:tr w14:paraId="18834E75">
        <w:trPr>
          <w:trHeight w:val="803" w:hRule="atLeast"/>
        </w:trPr>
        <w:tc>
          <w:tcPr>
            <w:tcW w:w="527" w:type="pct"/>
            <w:tcBorders>
              <w:top w:val="nil"/>
              <w:left w:val="single" w:color="auto" w:sz="4" w:space="0"/>
              <w:bottom w:val="single" w:color="auto" w:sz="4" w:space="0"/>
              <w:right w:val="single" w:color="auto" w:sz="4" w:space="0"/>
            </w:tcBorders>
            <w:noWrap/>
            <w:vAlign w:val="center"/>
          </w:tcPr>
          <w:p w14:paraId="0CB9F09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7</w:t>
            </w:r>
          </w:p>
        </w:tc>
        <w:tc>
          <w:tcPr>
            <w:tcW w:w="2628" w:type="pct"/>
            <w:tcBorders>
              <w:top w:val="nil"/>
              <w:left w:val="nil"/>
              <w:bottom w:val="single" w:color="auto" w:sz="4" w:space="0"/>
              <w:right w:val="single" w:color="auto" w:sz="4" w:space="0"/>
            </w:tcBorders>
            <w:noWrap w:val="0"/>
            <w:vAlign w:val="center"/>
          </w:tcPr>
          <w:p w14:paraId="6F243EC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关于印发推进武汉市公立医院医疗服务价格改革实施方案的通知</w:t>
            </w:r>
          </w:p>
        </w:tc>
        <w:tc>
          <w:tcPr>
            <w:tcW w:w="1844" w:type="pct"/>
            <w:tcBorders>
              <w:top w:val="nil"/>
              <w:left w:val="nil"/>
              <w:bottom w:val="single" w:color="auto" w:sz="4" w:space="0"/>
              <w:right w:val="single" w:color="auto" w:sz="4" w:space="0"/>
            </w:tcBorders>
            <w:noWrap w:val="0"/>
            <w:vAlign w:val="center"/>
          </w:tcPr>
          <w:p w14:paraId="1D1C241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武发改规〔2017〕2号</w:t>
            </w:r>
          </w:p>
        </w:tc>
      </w:tr>
      <w:tr w14:paraId="167735B1">
        <w:trPr>
          <w:trHeight w:val="1036" w:hRule="atLeast"/>
        </w:trPr>
        <w:tc>
          <w:tcPr>
            <w:tcW w:w="527" w:type="pct"/>
            <w:tcBorders>
              <w:top w:val="nil"/>
              <w:left w:val="single" w:color="auto" w:sz="4" w:space="0"/>
              <w:bottom w:val="single" w:color="auto" w:sz="4" w:space="0"/>
              <w:right w:val="single" w:color="auto" w:sz="4" w:space="0"/>
            </w:tcBorders>
            <w:noWrap/>
            <w:vAlign w:val="center"/>
          </w:tcPr>
          <w:p w14:paraId="6CF4348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8</w:t>
            </w:r>
          </w:p>
        </w:tc>
        <w:tc>
          <w:tcPr>
            <w:tcW w:w="2628" w:type="pct"/>
            <w:tcBorders>
              <w:top w:val="nil"/>
              <w:left w:val="nil"/>
              <w:bottom w:val="single" w:color="auto" w:sz="4" w:space="0"/>
              <w:right w:val="single" w:color="auto" w:sz="4" w:space="0"/>
            </w:tcBorders>
            <w:noWrap w:val="0"/>
            <w:vAlign w:val="center"/>
          </w:tcPr>
          <w:p w14:paraId="6E4EB73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left="0" w:right="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市发展改革委关于印发《武汉市固定资产投资项目节能审查实施办法》（修订稿）的通知</w:t>
            </w:r>
          </w:p>
        </w:tc>
        <w:tc>
          <w:tcPr>
            <w:tcW w:w="1844" w:type="pct"/>
            <w:tcBorders>
              <w:top w:val="nil"/>
              <w:left w:val="nil"/>
              <w:bottom w:val="single" w:color="auto" w:sz="4" w:space="0"/>
              <w:right w:val="single" w:color="auto" w:sz="4" w:space="0"/>
            </w:tcBorders>
            <w:noWrap w:val="0"/>
            <w:vAlign w:val="center"/>
          </w:tcPr>
          <w:p w14:paraId="44F9A34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ind w:right="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武发改规〔2017〕3号</w:t>
            </w:r>
          </w:p>
        </w:tc>
      </w:tr>
    </w:tbl>
    <w:p w14:paraId="64EF779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val="0"/>
        <w:overflowPunct/>
        <w:topLinePunct w:val="0"/>
        <w:autoSpaceDE/>
        <w:autoSpaceDN/>
        <w:bidi w:val="0"/>
        <w:adjustRightInd/>
        <w:snapToGrid/>
        <w:spacing w:before="0" w:beforeAutospacing="0" w:after="0" w:afterAutospacing="0" w:line="20" w:lineRule="exact"/>
        <w:ind w:right="0"/>
        <w:jc w:val="both"/>
        <w:textAlignment w:val="auto"/>
        <w:rPr>
          <w:rFonts w:hint="default" w:ascii="仿宋_GB2312" w:hAnsi="仿宋_GB2312" w:eastAsia="仿宋_GB2312" w:cs="仿宋_GB2312"/>
          <w:i w:val="0"/>
          <w:caps w:val="0"/>
          <w:color w:val="333333"/>
          <w:spacing w:val="0"/>
          <w:sz w:val="32"/>
          <w:szCs w:val="32"/>
          <w:shd w:val="clear" w:color="auto" w:fill="FFFFFF"/>
          <w:lang w:val="en-US" w:eastAsia="zh-CN"/>
        </w:rPr>
      </w:pPr>
    </w:p>
    <w:sectPr>
      <w:headerReference r:id="rId3" w:type="default"/>
      <w:footerReference r:id="rId4" w:type="default"/>
      <w:pgSz w:w="11906" w:h="16838"/>
      <w:pgMar w:top="1962" w:right="1474" w:bottom="1848" w:left="1587" w:header="851" w:footer="992" w:gutter="0"/>
      <w:pgNumType w:fmt="numberInDash"/>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FangSong_GB2312">
    <w:panose1 w:val="02010609030101010101"/>
    <w:charset w:val="86"/>
    <w:family w:val="auto"/>
    <w:pitch w:val="default"/>
    <w:sig w:usb0="00000001" w:usb1="080E0000" w:usb2="00000000" w:usb3="00000000" w:csb0="00040000" w:csb1="00000000"/>
  </w:font>
  <w:font w:name="FZXiaoBiaoSong-B05S">
    <w:panose1 w:val="03000509000000000000"/>
    <w:charset w:val="86"/>
    <w:family w:val="auto"/>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仿宋">
    <w:altName w:val="仿宋-简"/>
    <w:panose1 w:val="02010609060101010101"/>
    <w:charset w:val="00"/>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楷体_GB2312">
    <w:altName w:val="汉仪楷体简"/>
    <w:panose1 w:val="02010609030101010101"/>
    <w:charset w:val="00"/>
    <w:family w:val="auto"/>
    <w:pitch w:val="default"/>
    <w:sig w:usb0="00000000" w:usb1="00000000" w:usb2="00000000" w:usb3="00000000" w:csb0="00040000" w:csb1="00000000"/>
  </w:font>
  <w:font w:name="黑体">
    <w:altName w:val="汉仪中黑KW"/>
    <w:panose1 w:val="02010609060101010101"/>
    <w:charset w:val="00"/>
    <w:family w:val="auto"/>
    <w:pitch w:val="default"/>
    <w:sig w:usb0="800002BF" w:usb1="38CF7CFA" w:usb2="00000016" w:usb3="00000000" w:csb0="00040001" w:csb1="00000000"/>
  </w:font>
  <w:font w:name="方正大标宋简体">
    <w:altName w:val="汉仪书宋二KW"/>
    <w:panose1 w:val="02010601030101010101"/>
    <w:charset w:val="00"/>
    <w:family w:val="auto"/>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FE4E">
    <w:pPr>
      <w:pStyle w:val="5"/>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3D7F82">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R89qo3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AUfPaqNwIAAG8EAAAOAAAAAAAAAAEAIAAAAB8BAABkcnMvZTJvRG9jLnht&#10;bFBLBQYAAAAABgAGAFkBAADIBQAAAAA=&#10;">
              <v:fill on="f" focussize="0,0"/>
              <v:stroke on="f" weight="0.5pt"/>
              <v:imagedata o:title=""/>
              <o:lock v:ext="edit" aspectratio="f"/>
              <v:textbox inset="0mm,0mm,0mm,0mm" style="mso-fit-shape-to-text:t;">
                <w:txbxContent>
                  <w:p w14:paraId="7D3D7F82">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14:paraId="1C966C40">
    <w:pPr>
      <w:pStyle w:val="5"/>
      <w:wordWrap w:val="0"/>
      <w:ind w:left="4788"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0" r="0" b="0"/>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z&#10;p6XR1AAAAAYBAAAPAAAAAAAAAAEAIAAAACIAAABkcnMvZG93bnJldi54bWxQSwECFAAUAAAACACH&#10;TuJAB6gkL+8BAADDAwAADgAAAAAAAAABACAAAAAjAQAAZHJzL2Uyb0RvYy54bWxQSwUGAAAAAAYA&#10;BgBZAQAAhAUAAAAA&#10;">
              <v:fill on="f" focussize="0,0"/>
              <v:stroke weight="1.75pt" color="#005192"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武汉市</w:t>
    </w:r>
    <w:r>
      <w:rPr>
        <w:rFonts w:hint="eastAsia" w:ascii="宋体" w:hAnsi="宋体" w:cs="宋体"/>
        <w:b/>
        <w:bCs/>
        <w:color w:val="005192"/>
        <w:sz w:val="28"/>
        <w:szCs w:val="44"/>
        <w:lang w:val="en-US" w:eastAsia="zh-CN"/>
      </w:rPr>
      <w:t>发展和改革委员会</w:t>
    </w:r>
    <w:r>
      <w:rPr>
        <w:rFonts w:hint="eastAsia" w:ascii="宋体" w:hAnsi="宋体" w:eastAsia="宋体" w:cs="宋体"/>
        <w:b/>
        <w:bCs/>
        <w:color w:val="005192"/>
        <w:sz w:val="28"/>
        <w:szCs w:val="44"/>
        <w:lang w:val="en-US" w:eastAsia="zh-CN"/>
      </w:rPr>
      <w:t xml:space="preserve">发布  </w:t>
    </w:r>
  </w:p>
  <w:p w14:paraId="4DF7BFE5">
    <w:pPr>
      <w:pStyle w:val="5"/>
      <w:wordWrap w:val="0"/>
      <w:ind w:left="4788" w:leftChars="2280" w:firstLine="5606"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45D9F">
    <w:pPr>
      <w:pStyle w:val="5"/>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0795" r="0" b="11430"/>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pSLLs/cBAADLAwAADgAAAGRycy9lMm9Eb2MueG1srVNNjtMw&#10;FN4jcQfLe5o005YSNZ3FVMMGQSXgAK5jJ5b8Jz9P016CCyCxgxVL9tyG4Rg8O2EY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74g+EDxJfCGZKChmplE31Ws+MriNgXS3+XpGXrrpXW+Qq1JUNDK/wSNENfSvQD&#10;hsYjN7AdJUx3aHgeQ4YEp1WbticgCN3hSgdyZMkm5XL+okqksd1fZan3jkE/1uXUaCCjIr4JrQxy&#10;LtM37dY2oYvsw4lBEnKULkUH156zokWa4R3nppMfk4nuzzG+/wa3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UR0DW1QAAAAkBAAAPAAAAAAAAAAEAIAAAACIAAABkcnMvZG93bnJldi54bWxQSwEC&#10;FAAUAAAACACHTuJApSLLs/cBAADLAwAADgAAAAAAAAABACAAAAAkAQAAZHJzL2Uyb0RvYy54bWxQ&#10;SwUGAAAAAAYABgBZAQAAjQUAAAAA&#10;">
              <v:fill on="f" focussize="0,0"/>
              <v:stroke weight="1.75pt" color="#005192" miterlimit="8" joinstyle="miter"/>
              <v:imagedata o:title=""/>
              <o:lock v:ext="edit" aspectratio="f"/>
            </v:line>
          </w:pict>
        </mc:Fallback>
      </mc:AlternateContent>
    </w:r>
  </w:p>
  <w:p w14:paraId="70F68F22">
    <w:pPr>
      <w:pStyle w:val="5"/>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21590" b="21590"/>
          <wp:docPr id="1"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国徽1024"/>
                  <pic:cNvPicPr>
                    <a:picLocks noChangeAspect="1"/>
                  </pic:cNvPicPr>
                </pic:nvPicPr>
                <pic:blipFill>
                  <a:blip r:embed="rId1"/>
                  <a:stretch>
                    <a:fillRect/>
                  </a:stretch>
                </pic:blipFill>
                <pic:spPr>
                  <a:xfrm>
                    <a:off x="0" y="0"/>
                    <a:ext cx="308610" cy="308610"/>
                  </a:xfrm>
                  <a:prstGeom prst="rect">
                    <a:avLst/>
                  </a:prstGeom>
                  <a:noFill/>
                  <a:ln>
                    <a:noFill/>
                  </a:ln>
                </pic:spPr>
              </pic:pic>
            </a:graphicData>
          </a:graphic>
        </wp:inline>
      </w:drawing>
    </w:r>
    <w:r>
      <w:rPr>
        <w:rFonts w:hint="eastAsia" w:ascii="宋体" w:hAnsi="宋体" w:eastAsia="宋体" w:cs="宋体"/>
        <w:b/>
        <w:bCs/>
        <w:color w:val="005192"/>
        <w:sz w:val="32"/>
      </w:rPr>
      <w:t>武汉市</w:t>
    </w:r>
    <w:r>
      <w:rPr>
        <w:rFonts w:hint="eastAsia" w:ascii="宋体" w:hAnsi="宋体" w:cs="宋体"/>
        <w:b/>
        <w:bCs/>
        <w:color w:val="005192"/>
        <w:sz w:val="32"/>
        <w:lang w:val="en-US" w:eastAsia="zh-CN"/>
      </w:rPr>
      <w:t>发展和改革委员会</w:t>
    </w:r>
    <w:r>
      <w:rPr>
        <w:rFonts w:hint="eastAsia" w:ascii="宋体" w:hAnsi="宋体" w:eastAsia="宋体" w:cs="宋体"/>
        <w:b/>
        <w:bCs/>
        <w:color w:val="005192"/>
        <w:sz w:val="32"/>
        <w:szCs w:val="32"/>
        <w:lang w:val="en-US" w:eastAsia="zh-CN"/>
      </w:rPr>
      <w:t>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IyNDFmY2MwMjgxNDJlYjIwZTM0ZDI1NWIzOTI0MDUifQ=="/>
  </w:docVars>
  <w:rsids>
    <w:rsidRoot w:val="00172A27"/>
    <w:rsid w:val="019E71BD"/>
    <w:rsid w:val="04B679C3"/>
    <w:rsid w:val="080F63D8"/>
    <w:rsid w:val="09341458"/>
    <w:rsid w:val="0B0912D7"/>
    <w:rsid w:val="152D2DCA"/>
    <w:rsid w:val="1D925BBC"/>
    <w:rsid w:val="1DEC284C"/>
    <w:rsid w:val="1E6523AC"/>
    <w:rsid w:val="1FFF60EA"/>
    <w:rsid w:val="22440422"/>
    <w:rsid w:val="2EBEDDB6"/>
    <w:rsid w:val="31A15F24"/>
    <w:rsid w:val="345054E7"/>
    <w:rsid w:val="36BA91AE"/>
    <w:rsid w:val="395347B5"/>
    <w:rsid w:val="39A232A0"/>
    <w:rsid w:val="39E745AA"/>
    <w:rsid w:val="3B5A6BBB"/>
    <w:rsid w:val="3EB7DE6B"/>
    <w:rsid w:val="3EDA13A6"/>
    <w:rsid w:val="414A771B"/>
    <w:rsid w:val="42F058B7"/>
    <w:rsid w:val="436109F6"/>
    <w:rsid w:val="441A38D4"/>
    <w:rsid w:val="4AC76815"/>
    <w:rsid w:val="4BC77339"/>
    <w:rsid w:val="4C9236C5"/>
    <w:rsid w:val="505C172E"/>
    <w:rsid w:val="52F46F0B"/>
    <w:rsid w:val="52F77B8D"/>
    <w:rsid w:val="53D8014D"/>
    <w:rsid w:val="5428386B"/>
    <w:rsid w:val="543E7199"/>
    <w:rsid w:val="55E064E0"/>
    <w:rsid w:val="572C6D10"/>
    <w:rsid w:val="5DC34279"/>
    <w:rsid w:val="5DE34532"/>
    <w:rsid w:val="5E6B043A"/>
    <w:rsid w:val="5FEF1842"/>
    <w:rsid w:val="607F49EA"/>
    <w:rsid w:val="608816D1"/>
    <w:rsid w:val="60EF4E7F"/>
    <w:rsid w:val="665233C1"/>
    <w:rsid w:val="683E7651"/>
    <w:rsid w:val="6AD9688B"/>
    <w:rsid w:val="6BC63071"/>
    <w:rsid w:val="6CF5CDBC"/>
    <w:rsid w:val="6D0E3F22"/>
    <w:rsid w:val="6DEB7010"/>
    <w:rsid w:val="73CA000F"/>
    <w:rsid w:val="74B73A6A"/>
    <w:rsid w:val="7A8E419A"/>
    <w:rsid w:val="7B7314BC"/>
    <w:rsid w:val="7BEFCDE9"/>
    <w:rsid w:val="7BF7C3FD"/>
    <w:rsid w:val="7C9011D9"/>
    <w:rsid w:val="7DC651C5"/>
    <w:rsid w:val="7E8B0570"/>
    <w:rsid w:val="7F7FE239"/>
    <w:rsid w:val="7FCC2834"/>
    <w:rsid w:val="7FE3730A"/>
    <w:rsid w:val="7FFE1241"/>
    <w:rsid w:val="877F922C"/>
    <w:rsid w:val="BFDFCFE8"/>
    <w:rsid w:val="C79919EA"/>
    <w:rsid w:val="D7FEFC7A"/>
    <w:rsid w:val="DB7DD031"/>
    <w:rsid w:val="EB9DF5D5"/>
    <w:rsid w:val="EBEDA7FF"/>
    <w:rsid w:val="EBEDBA3D"/>
    <w:rsid w:val="EE658F20"/>
    <w:rsid w:val="EFFECA42"/>
    <w:rsid w:val="FD77F9ED"/>
    <w:rsid w:val="FDBFB95C"/>
    <w:rsid w:val="FDFB0A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kern w:val="44"/>
      <w:sz w:val="48"/>
      <w:szCs w:val="48"/>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Style w:val="7"/>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page number"/>
    <w:qFormat/>
    <w:uiPriority w:val="0"/>
    <w:rPr>
      <w:rFonts w:eastAsia="宋体"/>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3172</Words>
  <Characters>3299</Characters>
  <Lines>1</Lines>
  <Paragraphs>1</Paragraphs>
  <TotalTime>11</TotalTime>
  <ScaleCrop>false</ScaleCrop>
  <LinksUpToDate>false</LinksUpToDate>
  <CharactersWithSpaces>3307</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2021-09-11T10:41:00Z</dcterms:created>
  <dc:creator>t</dc:creator>
  <cp:lastModifiedBy>SARYPS</cp:lastModifiedBy>
  <cp:lastPrinted>2021-10-28T11:30:00Z</cp:lastPrinted>
  <dcterms:modified xsi:type="dcterms:W3CDTF">2026-06-30T17:10:55Z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D87F5AA9A20509AF1F88436A7E12565A_43</vt:lpwstr>
  </property>
</Properties>
</file>