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05101" w14:textId="77777777" w:rsidR="00BA3EF3" w:rsidRDefault="00BA3EF3" w:rsidP="00BA3EF3"/>
    <w:p w14:paraId="5D608135" w14:textId="77777777" w:rsidR="006B47A0" w:rsidRDefault="006B47A0" w:rsidP="00F555B2">
      <w:pPr>
        <w:jc w:val="center"/>
      </w:pPr>
    </w:p>
    <w:p w14:paraId="5A49B308" w14:textId="77777777" w:rsidR="006B47A0" w:rsidRDefault="006B47A0" w:rsidP="00BA3EF3"/>
    <w:p w14:paraId="58661F82" w14:textId="77777777" w:rsidR="006B47A0" w:rsidRDefault="006B47A0" w:rsidP="00BA3EF3"/>
    <w:p w14:paraId="60D3A3C1" w14:textId="77777777" w:rsidR="006B47A0" w:rsidRDefault="006B47A0" w:rsidP="00BA3EF3"/>
    <w:p w14:paraId="323E01AD" w14:textId="77777777" w:rsidR="006B47A0" w:rsidRDefault="006B47A0" w:rsidP="00BA3EF3"/>
    <w:p w14:paraId="0FD3062B" w14:textId="77777777" w:rsidR="006B47A0" w:rsidRDefault="006B47A0" w:rsidP="00BA3EF3"/>
    <w:p w14:paraId="2DA05B91" w14:textId="77777777" w:rsidR="006B47A0" w:rsidRDefault="006B47A0" w:rsidP="00BA3EF3"/>
    <w:p w14:paraId="7BE58923" w14:textId="77777777" w:rsidR="006B47A0" w:rsidRDefault="006B47A0" w:rsidP="00BA3EF3"/>
    <w:p w14:paraId="2FCAFE26" w14:textId="77777777" w:rsidR="006B47A0" w:rsidRDefault="006B47A0" w:rsidP="00BA3EF3"/>
    <w:p w14:paraId="1984CA27" w14:textId="77777777" w:rsidR="006B47A0" w:rsidRDefault="006B47A0" w:rsidP="00BA3EF3"/>
    <w:p w14:paraId="164C058C" w14:textId="77777777" w:rsidR="006B47A0" w:rsidRDefault="006B47A0" w:rsidP="00BA3EF3"/>
    <w:p w14:paraId="7D7D9B5B" w14:textId="77777777" w:rsidR="006B47A0" w:rsidRDefault="006B47A0" w:rsidP="00BA3EF3"/>
    <w:p w14:paraId="56BDE78C" w14:textId="77777777" w:rsidR="006B47A0" w:rsidRDefault="006B47A0" w:rsidP="00BA3EF3"/>
    <w:p w14:paraId="4E68B881" w14:textId="77777777" w:rsidR="006B47A0" w:rsidRDefault="006B47A0" w:rsidP="00BA3EF3"/>
    <w:p w14:paraId="227B141E" w14:textId="2138E705" w:rsidR="006B47A0" w:rsidRDefault="00E7430A" w:rsidP="00BA3EF3">
      <w:r>
        <w:rPr>
          <w:noProof/>
          <w:lang w:eastAsia="en-GB"/>
        </w:rPr>
        <mc:AlternateContent>
          <mc:Choice Requires="wps">
            <w:drawing>
              <wp:anchor distT="0" distB="0" distL="114300" distR="114300" simplePos="0" relativeHeight="251659264" behindDoc="0" locked="0" layoutInCell="1" allowOverlap="1" wp14:anchorId="6E0441D1" wp14:editId="13EBE754">
                <wp:simplePos x="0" y="0"/>
                <wp:positionH relativeFrom="column">
                  <wp:posOffset>1176020</wp:posOffset>
                </wp:positionH>
                <wp:positionV relativeFrom="paragraph">
                  <wp:posOffset>258445</wp:posOffset>
                </wp:positionV>
                <wp:extent cx="4940300" cy="2803525"/>
                <wp:effectExtent l="0" t="0" r="0" b="0"/>
                <wp:wrapSquare wrapText="bothSides"/>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940300" cy="280352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style>
                        <a:lnRef idx="0">
                          <a:schemeClr val="accent1"/>
                        </a:lnRef>
                        <a:fillRef idx="0">
                          <a:schemeClr val="accent1"/>
                        </a:fillRef>
                        <a:effectRef idx="0">
                          <a:schemeClr val="accent1"/>
                        </a:effectRef>
                        <a:fontRef idx="minor">
                          <a:schemeClr val="dk1"/>
                        </a:fontRef>
                      </wps:style>
                      <wps:txbx>
                        <w:txbxContent>
                          <w:p w14:paraId="0CB5AA1E" w14:textId="4B3FEC55" w:rsidR="00D66241" w:rsidRDefault="009A4C02" w:rsidP="00F47AEE">
                            <w:pPr>
                              <w:pStyle w:val="Dateofpublication"/>
                            </w:pPr>
                            <w:r>
                              <w:t>December</w:t>
                            </w:r>
                            <w:r w:rsidR="008C406D">
                              <w:t xml:space="preserve"> </w:t>
                            </w:r>
                            <w:r w:rsidR="00D66241">
                              <w:t>2021</w:t>
                            </w:r>
                          </w:p>
                          <w:p w14:paraId="7946DB7C" w14:textId="1F036A48" w:rsidR="00C731B8" w:rsidRPr="006250E4" w:rsidRDefault="006250E4" w:rsidP="00E7430A">
                            <w:pPr>
                              <w:pStyle w:val="ReportTitle"/>
                              <w:spacing w:line="600" w:lineRule="exact"/>
                              <w:rPr>
                                <w:sz w:val="48"/>
                                <w:szCs w:val="48"/>
                                <w:lang w:val="en-US"/>
                              </w:rPr>
                            </w:pPr>
                            <w:r w:rsidRPr="006250E4">
                              <w:rPr>
                                <w:sz w:val="52"/>
                                <w:szCs w:val="22"/>
                                <w:lang w:val="en-US"/>
                              </w:rPr>
                              <w:t xml:space="preserve">Uganda’s loans from international financial institutions (IFIs), </w:t>
                            </w:r>
                            <w:r w:rsidR="00E7430A">
                              <w:rPr>
                                <w:sz w:val="52"/>
                                <w:szCs w:val="22"/>
                                <w:lang w:val="en-US"/>
                              </w:rPr>
                              <w:br/>
                            </w:r>
                            <w:r w:rsidRPr="006250E4">
                              <w:rPr>
                                <w:sz w:val="52"/>
                                <w:szCs w:val="22"/>
                                <w:lang w:val="en-US"/>
                              </w:rPr>
                              <w:t>2018–2021</w:t>
                            </w:r>
                          </w:p>
                          <w:p w14:paraId="4A45A7F1" w14:textId="4DCAD47F" w:rsidR="00D66241" w:rsidRPr="00893E36" w:rsidRDefault="00D66241" w:rsidP="00893E36">
                            <w:pPr>
                              <w:pStyle w:val="Dateofpublication"/>
                              <w:rPr>
                                <w:lang w:val="en-US"/>
                              </w:rPr>
                            </w:pPr>
                            <w:r>
                              <w:rPr>
                                <w:lang w:val="en-US"/>
                              </w:rPr>
                              <w:t>briefing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441D1" id="_x0000_t202" coordsize="21600,21600" o:spt="202" path="m,l,21600r21600,l21600,xe">
                <v:stroke joinstyle="miter"/>
                <v:path gradientshapeok="t" o:connecttype="rect"/>
              </v:shapetype>
              <v:shape id="Text Box 6" o:spid="_x0000_s1026" type="#_x0000_t202" style="position:absolute;margin-left:92.6pt;margin-top:20.35pt;width:389pt;height:2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" filled="f" stroked="f">
                <v:textbox>
                  <w:txbxContent>
                    <w:p w14:paraId="0CB5AA1E" w14:textId="4B3FEC55" w:rsidR="00D66241" w:rsidRDefault="009A4C02" w:rsidP="00F47AEE">
                      <w:pPr>
                        <w:pStyle w:val="Dateofpublication"/>
                      </w:pPr>
                      <w:r>
                        <w:t>December</w:t>
                      </w:r>
                      <w:r w:rsidR="008C406D">
                        <w:t xml:space="preserve"> </w:t>
                      </w:r>
                      <w:r w:rsidR="00D66241">
                        <w:t>2021</w:t>
                      </w:r>
                    </w:p>
                    <w:p w14:paraId="7946DB7C" w14:textId="1F036A48" w:rsidR="00C731B8" w:rsidRPr="006250E4" w:rsidRDefault="006250E4" w:rsidP="00E7430A">
                      <w:pPr>
                        <w:pStyle w:val="ReportTitle"/>
                        <w:spacing w:line="600" w:lineRule="exact"/>
                        <w:rPr>
                          <w:sz w:val="48"/>
                          <w:szCs w:val="48"/>
                          <w:lang w:val="en-US"/>
                        </w:rPr>
                      </w:pPr>
                      <w:r w:rsidRPr="006250E4">
                        <w:rPr>
                          <w:sz w:val="52"/>
                          <w:szCs w:val="22"/>
                          <w:lang w:val="en-US"/>
                        </w:rPr>
                        <w:t xml:space="preserve">Uganda’s loans from international financial institutions (IFIs), </w:t>
                      </w:r>
                      <w:r w:rsidR="00E7430A">
                        <w:rPr>
                          <w:sz w:val="52"/>
                          <w:szCs w:val="22"/>
                          <w:lang w:val="en-US"/>
                        </w:rPr>
                        <w:br/>
                      </w:r>
                      <w:r w:rsidRPr="006250E4">
                        <w:rPr>
                          <w:sz w:val="52"/>
                          <w:szCs w:val="22"/>
                          <w:lang w:val="en-US"/>
                        </w:rPr>
                        <w:t>2018–2021</w:t>
                      </w:r>
                    </w:p>
                    <w:p w14:paraId="4A45A7F1" w14:textId="4DCAD47F" w:rsidR="00D66241" w:rsidRPr="00893E36" w:rsidRDefault="00D66241" w:rsidP="00893E36">
                      <w:pPr>
                        <w:pStyle w:val="Dateofpublication"/>
                        <w:rPr>
                          <w:lang w:val="en-US"/>
                        </w:rPr>
                      </w:pPr>
                      <w:r>
                        <w:rPr>
                          <w:lang w:val="en-US"/>
                        </w:rPr>
                        <w:t>briefing</w:t>
                      </w:r>
                    </w:p>
                  </w:txbxContent>
                </v:textbox>
                <w10:wrap type="square"/>
              </v:shape>
            </w:pict>
          </mc:Fallback>
        </mc:AlternateContent>
      </w:r>
    </w:p>
    <w:p w14:paraId="66BF81E9" w14:textId="0E27A02F" w:rsidR="006B47A0" w:rsidRDefault="006B47A0" w:rsidP="00BA3EF3"/>
    <w:p w14:paraId="5BE7BEA1" w14:textId="77777777" w:rsidR="006B47A0" w:rsidRDefault="006B47A0" w:rsidP="00BA3EF3"/>
    <w:p w14:paraId="64891169" w14:textId="77777777" w:rsidR="00BA3EF3" w:rsidRDefault="00BA3EF3" w:rsidP="00BA3EF3"/>
    <w:p w14:paraId="796DCAB3" w14:textId="7B9D8F24" w:rsidR="00BA3EF3" w:rsidRDefault="00BA3EF3" w:rsidP="00BA3EF3"/>
    <w:p w14:paraId="040621E7" w14:textId="77777777" w:rsidR="00BA3EF3" w:rsidRDefault="00BA3EF3" w:rsidP="00BA3EF3"/>
    <w:p w14:paraId="7A4F4B8B" w14:textId="77777777" w:rsidR="00BA3EF3" w:rsidRDefault="00BA3EF3" w:rsidP="00BA3EF3"/>
    <w:p w14:paraId="4F120F47" w14:textId="77777777" w:rsidR="00F47AEE" w:rsidRDefault="00F47AEE">
      <w:pPr>
        <w:spacing w:before="0" w:line="240" w:lineRule="auto"/>
      </w:pPr>
      <w:r>
        <w:br w:type="page"/>
      </w:r>
    </w:p>
    <w:bookmarkStart w:id="0" w:name="_Toc472070094" w:displacedByCustomXml="next"/>
    <w:sdt>
      <w:sdtPr>
        <w:rPr>
          <w:rFonts w:asciiTheme="minorHAnsi" w:eastAsiaTheme="minorEastAsia" w:hAnsiTheme="minorHAnsi" w:cstheme="minorBidi"/>
          <w:b w:val="0"/>
          <w:bCs w:val="0"/>
          <w:color w:val="453F43" w:themeColor="background2"/>
          <w:sz w:val="20"/>
          <w:szCs w:val="24"/>
        </w:rPr>
        <w:id w:val="677700895"/>
        <w:docPartObj>
          <w:docPartGallery w:val="Table of Contents"/>
          <w:docPartUnique/>
        </w:docPartObj>
      </w:sdtPr>
      <w:sdtEndPr>
        <w:rPr>
          <w:noProof/>
        </w:rPr>
      </w:sdtEndPr>
      <w:sdtContent>
        <w:p w14:paraId="1A79F0A0" w14:textId="77777777" w:rsidR="001A7436" w:rsidRDefault="001A7436" w:rsidP="001A7436">
          <w:pPr>
            <w:pStyle w:val="TOCHeading"/>
          </w:pPr>
          <w:r>
            <w:t>Contents</w:t>
          </w:r>
        </w:p>
        <w:p w14:paraId="08E5A0D4" w14:textId="15AC86C4" w:rsidR="00863043" w:rsidRDefault="001A7436">
          <w:pPr>
            <w:pStyle w:val="TOC1"/>
            <w:rPr>
              <w:color w:val="auto"/>
              <w:sz w:val="22"/>
              <w:szCs w:val="22"/>
              <w:lang w:eastAsia="en-GB"/>
            </w:rPr>
          </w:pPr>
          <w:r>
            <w:fldChar w:fldCharType="begin"/>
          </w:r>
          <w:r>
            <w:instrText xml:space="preserve"> TOC \o "1-3" \h \z \u </w:instrText>
          </w:r>
          <w:r>
            <w:fldChar w:fldCharType="separate"/>
          </w:r>
          <w:hyperlink w:anchor="_Toc91097884" w:history="1">
            <w:r w:rsidR="00863043" w:rsidRPr="001652AC">
              <w:rPr>
                <w:rStyle w:val="Hyperlink"/>
                <w:lang w:val="en-US"/>
              </w:rPr>
              <w:t>Introduction</w:t>
            </w:r>
            <w:r w:rsidR="00863043">
              <w:rPr>
                <w:webHidden/>
              </w:rPr>
              <w:tab/>
            </w:r>
            <w:r w:rsidR="00863043">
              <w:rPr>
                <w:webHidden/>
              </w:rPr>
              <w:fldChar w:fldCharType="begin"/>
            </w:r>
            <w:r w:rsidR="00863043">
              <w:rPr>
                <w:webHidden/>
              </w:rPr>
              <w:instrText xml:space="preserve"> PAGEREF _Toc91097884 \h </w:instrText>
            </w:r>
            <w:r w:rsidR="00863043">
              <w:rPr>
                <w:webHidden/>
              </w:rPr>
            </w:r>
            <w:r w:rsidR="00863043">
              <w:rPr>
                <w:webHidden/>
              </w:rPr>
              <w:fldChar w:fldCharType="separate"/>
            </w:r>
            <w:r w:rsidR="0083474F">
              <w:rPr>
                <w:webHidden/>
              </w:rPr>
              <w:t>3</w:t>
            </w:r>
            <w:r w:rsidR="00863043">
              <w:rPr>
                <w:webHidden/>
              </w:rPr>
              <w:fldChar w:fldCharType="end"/>
            </w:r>
          </w:hyperlink>
        </w:p>
        <w:p w14:paraId="6C57A47A" w14:textId="3652E918" w:rsidR="00863043" w:rsidRDefault="009D7657">
          <w:pPr>
            <w:pStyle w:val="TOC1"/>
            <w:rPr>
              <w:color w:val="auto"/>
              <w:sz w:val="22"/>
              <w:szCs w:val="22"/>
              <w:lang w:eastAsia="en-GB"/>
            </w:rPr>
          </w:pPr>
          <w:hyperlink w:anchor="_Toc91097885" w:history="1">
            <w:r w:rsidR="00863043" w:rsidRPr="001652AC">
              <w:rPr>
                <w:rStyle w:val="Hyperlink"/>
                <w:lang w:val="en-US"/>
              </w:rPr>
              <w:t>Key findings</w:t>
            </w:r>
            <w:r w:rsidR="00863043">
              <w:rPr>
                <w:webHidden/>
              </w:rPr>
              <w:tab/>
            </w:r>
            <w:r w:rsidR="00863043">
              <w:rPr>
                <w:webHidden/>
              </w:rPr>
              <w:fldChar w:fldCharType="begin"/>
            </w:r>
            <w:r w:rsidR="00863043">
              <w:rPr>
                <w:webHidden/>
              </w:rPr>
              <w:instrText xml:space="preserve"> PAGEREF _Toc91097885 \h </w:instrText>
            </w:r>
            <w:r w:rsidR="00863043">
              <w:rPr>
                <w:webHidden/>
              </w:rPr>
            </w:r>
            <w:r w:rsidR="00863043">
              <w:rPr>
                <w:webHidden/>
              </w:rPr>
              <w:fldChar w:fldCharType="separate"/>
            </w:r>
            <w:r w:rsidR="0083474F">
              <w:rPr>
                <w:webHidden/>
              </w:rPr>
              <w:t>4</w:t>
            </w:r>
            <w:r w:rsidR="00863043">
              <w:rPr>
                <w:webHidden/>
              </w:rPr>
              <w:fldChar w:fldCharType="end"/>
            </w:r>
          </w:hyperlink>
        </w:p>
        <w:p w14:paraId="794DD6C0" w14:textId="11B60DA9" w:rsidR="00863043" w:rsidRDefault="009D7657">
          <w:pPr>
            <w:pStyle w:val="TOC1"/>
            <w:rPr>
              <w:color w:val="auto"/>
              <w:sz w:val="22"/>
              <w:szCs w:val="22"/>
              <w:lang w:eastAsia="en-GB"/>
            </w:rPr>
          </w:pPr>
          <w:hyperlink w:anchor="_Toc91097886" w:history="1">
            <w:r w:rsidR="00863043" w:rsidRPr="001652AC">
              <w:rPr>
                <w:rStyle w:val="Hyperlink"/>
                <w:lang w:val="en-US"/>
              </w:rPr>
              <w:t>Trends in financing from major international financial institution donors</w:t>
            </w:r>
            <w:r w:rsidR="00863043">
              <w:rPr>
                <w:webHidden/>
              </w:rPr>
              <w:tab/>
            </w:r>
            <w:r w:rsidR="00863043">
              <w:rPr>
                <w:webHidden/>
              </w:rPr>
              <w:fldChar w:fldCharType="begin"/>
            </w:r>
            <w:r w:rsidR="00863043">
              <w:rPr>
                <w:webHidden/>
              </w:rPr>
              <w:instrText xml:space="preserve"> PAGEREF _Toc91097886 \h </w:instrText>
            </w:r>
            <w:r w:rsidR="00863043">
              <w:rPr>
                <w:webHidden/>
              </w:rPr>
            </w:r>
            <w:r w:rsidR="00863043">
              <w:rPr>
                <w:webHidden/>
              </w:rPr>
              <w:fldChar w:fldCharType="separate"/>
            </w:r>
            <w:r w:rsidR="0083474F">
              <w:rPr>
                <w:webHidden/>
              </w:rPr>
              <w:t>6</w:t>
            </w:r>
            <w:r w:rsidR="00863043">
              <w:rPr>
                <w:webHidden/>
              </w:rPr>
              <w:fldChar w:fldCharType="end"/>
            </w:r>
          </w:hyperlink>
        </w:p>
        <w:p w14:paraId="3A347C76" w14:textId="2328D49F" w:rsidR="00863043" w:rsidRDefault="009D7657">
          <w:pPr>
            <w:pStyle w:val="TOC1"/>
            <w:rPr>
              <w:color w:val="auto"/>
              <w:sz w:val="22"/>
              <w:szCs w:val="22"/>
              <w:lang w:eastAsia="en-GB"/>
            </w:rPr>
          </w:pPr>
          <w:hyperlink w:anchor="_Toc91097887" w:history="1">
            <w:r w:rsidR="00863043" w:rsidRPr="001652AC">
              <w:rPr>
                <w:rStyle w:val="Hyperlink"/>
                <w:lang w:val="en-US"/>
              </w:rPr>
              <w:t>Lending terms</w:t>
            </w:r>
            <w:r w:rsidR="00863043">
              <w:rPr>
                <w:webHidden/>
              </w:rPr>
              <w:tab/>
            </w:r>
            <w:r w:rsidR="00863043">
              <w:rPr>
                <w:webHidden/>
              </w:rPr>
              <w:fldChar w:fldCharType="begin"/>
            </w:r>
            <w:r w:rsidR="00863043">
              <w:rPr>
                <w:webHidden/>
              </w:rPr>
              <w:instrText xml:space="preserve"> PAGEREF _Toc91097887 \h </w:instrText>
            </w:r>
            <w:r w:rsidR="00863043">
              <w:rPr>
                <w:webHidden/>
              </w:rPr>
            </w:r>
            <w:r w:rsidR="00863043">
              <w:rPr>
                <w:webHidden/>
              </w:rPr>
              <w:fldChar w:fldCharType="separate"/>
            </w:r>
            <w:r w:rsidR="0083474F">
              <w:rPr>
                <w:webHidden/>
              </w:rPr>
              <w:t>8</w:t>
            </w:r>
            <w:r w:rsidR="00863043">
              <w:rPr>
                <w:webHidden/>
              </w:rPr>
              <w:fldChar w:fldCharType="end"/>
            </w:r>
          </w:hyperlink>
        </w:p>
        <w:p w14:paraId="0A978653" w14:textId="5036867A" w:rsidR="00863043" w:rsidRDefault="009D7657">
          <w:pPr>
            <w:pStyle w:val="TOC1"/>
            <w:rPr>
              <w:color w:val="auto"/>
              <w:sz w:val="22"/>
              <w:szCs w:val="22"/>
              <w:lang w:eastAsia="en-GB"/>
            </w:rPr>
          </w:pPr>
          <w:hyperlink w:anchor="_Toc91097888" w:history="1">
            <w:r w:rsidR="00863043" w:rsidRPr="001652AC">
              <w:rPr>
                <w:rStyle w:val="Hyperlink"/>
                <w:lang w:val="en-US"/>
              </w:rPr>
              <w:t>World Bank: focus of loans</w:t>
            </w:r>
            <w:r w:rsidR="00863043">
              <w:rPr>
                <w:webHidden/>
              </w:rPr>
              <w:tab/>
            </w:r>
            <w:r w:rsidR="00863043">
              <w:rPr>
                <w:webHidden/>
              </w:rPr>
              <w:fldChar w:fldCharType="begin"/>
            </w:r>
            <w:r w:rsidR="00863043">
              <w:rPr>
                <w:webHidden/>
              </w:rPr>
              <w:instrText xml:space="preserve"> PAGEREF _Toc91097888 \h </w:instrText>
            </w:r>
            <w:r w:rsidR="00863043">
              <w:rPr>
                <w:webHidden/>
              </w:rPr>
            </w:r>
            <w:r w:rsidR="00863043">
              <w:rPr>
                <w:webHidden/>
              </w:rPr>
              <w:fldChar w:fldCharType="separate"/>
            </w:r>
            <w:r w:rsidR="0083474F">
              <w:rPr>
                <w:webHidden/>
              </w:rPr>
              <w:t>10</w:t>
            </w:r>
            <w:r w:rsidR="00863043">
              <w:rPr>
                <w:webHidden/>
              </w:rPr>
              <w:fldChar w:fldCharType="end"/>
            </w:r>
          </w:hyperlink>
        </w:p>
        <w:p w14:paraId="7208CE41" w14:textId="4A8D422B" w:rsidR="00863043" w:rsidRDefault="009D7657">
          <w:pPr>
            <w:pStyle w:val="TOC2"/>
            <w:rPr>
              <w:noProof/>
              <w:color w:val="auto"/>
              <w:sz w:val="22"/>
              <w:szCs w:val="22"/>
              <w:lang w:eastAsia="en-GB"/>
            </w:rPr>
          </w:pPr>
          <w:hyperlink w:anchor="_Toc91097889" w:history="1">
            <w:r w:rsidR="00863043" w:rsidRPr="001652AC">
              <w:rPr>
                <w:rStyle w:val="Hyperlink"/>
                <w:noProof/>
                <w:lang w:val="en-US"/>
              </w:rPr>
              <w:t>Sectors: prioritising governance and security</w:t>
            </w:r>
            <w:r w:rsidR="00863043">
              <w:rPr>
                <w:noProof/>
                <w:webHidden/>
              </w:rPr>
              <w:tab/>
            </w:r>
            <w:r w:rsidR="00863043">
              <w:rPr>
                <w:noProof/>
                <w:webHidden/>
              </w:rPr>
              <w:fldChar w:fldCharType="begin"/>
            </w:r>
            <w:r w:rsidR="00863043">
              <w:rPr>
                <w:noProof/>
                <w:webHidden/>
              </w:rPr>
              <w:instrText xml:space="preserve"> PAGEREF _Toc91097889 \h </w:instrText>
            </w:r>
            <w:r w:rsidR="00863043">
              <w:rPr>
                <w:noProof/>
                <w:webHidden/>
              </w:rPr>
            </w:r>
            <w:r w:rsidR="00863043">
              <w:rPr>
                <w:noProof/>
                <w:webHidden/>
              </w:rPr>
              <w:fldChar w:fldCharType="separate"/>
            </w:r>
            <w:r w:rsidR="0083474F">
              <w:rPr>
                <w:noProof/>
                <w:webHidden/>
              </w:rPr>
              <w:t>10</w:t>
            </w:r>
            <w:r w:rsidR="00863043">
              <w:rPr>
                <w:noProof/>
                <w:webHidden/>
              </w:rPr>
              <w:fldChar w:fldCharType="end"/>
            </w:r>
          </w:hyperlink>
        </w:p>
        <w:p w14:paraId="56DD84FB" w14:textId="60D3FB4B" w:rsidR="00863043" w:rsidRDefault="009D7657">
          <w:pPr>
            <w:pStyle w:val="TOC2"/>
            <w:rPr>
              <w:noProof/>
              <w:color w:val="auto"/>
              <w:sz w:val="22"/>
              <w:szCs w:val="22"/>
              <w:lang w:eastAsia="en-GB"/>
            </w:rPr>
          </w:pPr>
          <w:hyperlink w:anchor="_Toc91097890" w:history="1">
            <w:r w:rsidR="00863043" w:rsidRPr="001652AC">
              <w:rPr>
                <w:rStyle w:val="Hyperlink"/>
                <w:noProof/>
                <w:lang w:val="en-US"/>
              </w:rPr>
              <w:t>Key projects funded by World Bank loans</w:t>
            </w:r>
            <w:r w:rsidR="00863043">
              <w:rPr>
                <w:noProof/>
                <w:webHidden/>
              </w:rPr>
              <w:tab/>
            </w:r>
            <w:r w:rsidR="00863043">
              <w:rPr>
                <w:noProof/>
                <w:webHidden/>
              </w:rPr>
              <w:fldChar w:fldCharType="begin"/>
            </w:r>
            <w:r w:rsidR="00863043">
              <w:rPr>
                <w:noProof/>
                <w:webHidden/>
              </w:rPr>
              <w:instrText xml:space="preserve"> PAGEREF _Toc91097890 \h </w:instrText>
            </w:r>
            <w:r w:rsidR="00863043">
              <w:rPr>
                <w:noProof/>
                <w:webHidden/>
              </w:rPr>
            </w:r>
            <w:r w:rsidR="00863043">
              <w:rPr>
                <w:noProof/>
                <w:webHidden/>
              </w:rPr>
              <w:fldChar w:fldCharType="separate"/>
            </w:r>
            <w:r w:rsidR="0083474F">
              <w:rPr>
                <w:noProof/>
                <w:webHidden/>
              </w:rPr>
              <w:t>11</w:t>
            </w:r>
            <w:r w:rsidR="00863043">
              <w:rPr>
                <w:noProof/>
                <w:webHidden/>
              </w:rPr>
              <w:fldChar w:fldCharType="end"/>
            </w:r>
          </w:hyperlink>
        </w:p>
        <w:p w14:paraId="0B436448" w14:textId="54EAA9C8" w:rsidR="00863043" w:rsidRDefault="009D7657">
          <w:pPr>
            <w:pStyle w:val="TOC1"/>
            <w:rPr>
              <w:color w:val="auto"/>
              <w:sz w:val="22"/>
              <w:szCs w:val="22"/>
              <w:lang w:eastAsia="en-GB"/>
            </w:rPr>
          </w:pPr>
          <w:hyperlink w:anchor="_Toc91097891" w:history="1">
            <w:r w:rsidR="00863043" w:rsidRPr="001652AC">
              <w:rPr>
                <w:rStyle w:val="Hyperlink"/>
                <w:lang w:val="en-US"/>
              </w:rPr>
              <w:t>International Monetary Fund: focus of loans</w:t>
            </w:r>
            <w:r w:rsidR="00863043">
              <w:rPr>
                <w:webHidden/>
              </w:rPr>
              <w:tab/>
            </w:r>
            <w:r w:rsidR="00863043">
              <w:rPr>
                <w:webHidden/>
              </w:rPr>
              <w:fldChar w:fldCharType="begin"/>
            </w:r>
            <w:r w:rsidR="00863043">
              <w:rPr>
                <w:webHidden/>
              </w:rPr>
              <w:instrText xml:space="preserve"> PAGEREF _Toc91097891 \h </w:instrText>
            </w:r>
            <w:r w:rsidR="00863043">
              <w:rPr>
                <w:webHidden/>
              </w:rPr>
            </w:r>
            <w:r w:rsidR="00863043">
              <w:rPr>
                <w:webHidden/>
              </w:rPr>
              <w:fldChar w:fldCharType="separate"/>
            </w:r>
            <w:r w:rsidR="0083474F">
              <w:rPr>
                <w:webHidden/>
              </w:rPr>
              <w:t>14</w:t>
            </w:r>
            <w:r w:rsidR="00863043">
              <w:rPr>
                <w:webHidden/>
              </w:rPr>
              <w:fldChar w:fldCharType="end"/>
            </w:r>
          </w:hyperlink>
        </w:p>
        <w:p w14:paraId="336AE27E" w14:textId="55F7DF27" w:rsidR="00863043" w:rsidRDefault="009D7657">
          <w:pPr>
            <w:pStyle w:val="TOC2"/>
            <w:rPr>
              <w:noProof/>
              <w:color w:val="auto"/>
              <w:sz w:val="22"/>
              <w:szCs w:val="22"/>
              <w:lang w:eastAsia="en-GB"/>
            </w:rPr>
          </w:pPr>
          <w:hyperlink w:anchor="_Toc91097892" w:history="1">
            <w:r w:rsidR="00863043" w:rsidRPr="001652AC">
              <w:rPr>
                <w:rStyle w:val="Hyperlink"/>
                <w:noProof/>
                <w:lang w:val="en-US"/>
              </w:rPr>
              <w:t>Cushioning Uganda from the pandemic shock</w:t>
            </w:r>
            <w:r w:rsidR="00863043">
              <w:rPr>
                <w:noProof/>
                <w:webHidden/>
              </w:rPr>
              <w:tab/>
            </w:r>
            <w:r w:rsidR="00863043">
              <w:rPr>
                <w:noProof/>
                <w:webHidden/>
              </w:rPr>
              <w:fldChar w:fldCharType="begin"/>
            </w:r>
            <w:r w:rsidR="00863043">
              <w:rPr>
                <w:noProof/>
                <w:webHidden/>
              </w:rPr>
              <w:instrText xml:space="preserve"> PAGEREF _Toc91097892 \h </w:instrText>
            </w:r>
            <w:r w:rsidR="00863043">
              <w:rPr>
                <w:noProof/>
                <w:webHidden/>
              </w:rPr>
            </w:r>
            <w:r w:rsidR="00863043">
              <w:rPr>
                <w:noProof/>
                <w:webHidden/>
              </w:rPr>
              <w:fldChar w:fldCharType="separate"/>
            </w:r>
            <w:r w:rsidR="0083474F">
              <w:rPr>
                <w:noProof/>
                <w:webHidden/>
              </w:rPr>
              <w:t>14</w:t>
            </w:r>
            <w:r w:rsidR="00863043">
              <w:rPr>
                <w:noProof/>
                <w:webHidden/>
              </w:rPr>
              <w:fldChar w:fldCharType="end"/>
            </w:r>
          </w:hyperlink>
        </w:p>
        <w:p w14:paraId="267FC86D" w14:textId="1ADD78DD" w:rsidR="00863043" w:rsidRDefault="009D7657">
          <w:pPr>
            <w:pStyle w:val="TOC1"/>
            <w:rPr>
              <w:color w:val="auto"/>
              <w:sz w:val="22"/>
              <w:szCs w:val="22"/>
              <w:lang w:eastAsia="en-GB"/>
            </w:rPr>
          </w:pPr>
          <w:hyperlink w:anchor="_Toc91097893" w:history="1">
            <w:r w:rsidR="00863043" w:rsidRPr="001652AC">
              <w:rPr>
                <w:rStyle w:val="Hyperlink"/>
                <w:lang w:val="en-US"/>
              </w:rPr>
              <w:t>African Development Bank: focus of loans</w:t>
            </w:r>
            <w:r w:rsidR="00863043">
              <w:rPr>
                <w:webHidden/>
              </w:rPr>
              <w:tab/>
            </w:r>
            <w:r w:rsidR="00863043">
              <w:rPr>
                <w:webHidden/>
              </w:rPr>
              <w:fldChar w:fldCharType="begin"/>
            </w:r>
            <w:r w:rsidR="00863043">
              <w:rPr>
                <w:webHidden/>
              </w:rPr>
              <w:instrText xml:space="preserve"> PAGEREF _Toc91097893 \h </w:instrText>
            </w:r>
            <w:r w:rsidR="00863043">
              <w:rPr>
                <w:webHidden/>
              </w:rPr>
            </w:r>
            <w:r w:rsidR="00863043">
              <w:rPr>
                <w:webHidden/>
              </w:rPr>
              <w:fldChar w:fldCharType="separate"/>
            </w:r>
            <w:r w:rsidR="0083474F">
              <w:rPr>
                <w:webHidden/>
              </w:rPr>
              <w:t>15</w:t>
            </w:r>
            <w:r w:rsidR="00863043">
              <w:rPr>
                <w:webHidden/>
              </w:rPr>
              <w:fldChar w:fldCharType="end"/>
            </w:r>
          </w:hyperlink>
        </w:p>
        <w:p w14:paraId="0F38D079" w14:textId="692DB110" w:rsidR="00863043" w:rsidRDefault="009D7657">
          <w:pPr>
            <w:pStyle w:val="TOC2"/>
            <w:rPr>
              <w:noProof/>
              <w:color w:val="auto"/>
              <w:sz w:val="22"/>
              <w:szCs w:val="22"/>
              <w:lang w:eastAsia="en-GB"/>
            </w:rPr>
          </w:pPr>
          <w:hyperlink w:anchor="_Toc91097894" w:history="1">
            <w:r w:rsidR="00863043" w:rsidRPr="001652AC">
              <w:rPr>
                <w:rStyle w:val="Hyperlink"/>
                <w:noProof/>
                <w:lang w:val="en-US"/>
              </w:rPr>
              <w:t>Sectors: targeting long-term impacts in pro-poor sectors</w:t>
            </w:r>
            <w:r w:rsidR="00863043">
              <w:rPr>
                <w:noProof/>
                <w:webHidden/>
              </w:rPr>
              <w:tab/>
            </w:r>
            <w:r w:rsidR="00863043">
              <w:rPr>
                <w:noProof/>
                <w:webHidden/>
              </w:rPr>
              <w:fldChar w:fldCharType="begin"/>
            </w:r>
            <w:r w:rsidR="00863043">
              <w:rPr>
                <w:noProof/>
                <w:webHidden/>
              </w:rPr>
              <w:instrText xml:space="preserve"> PAGEREF _Toc91097894 \h </w:instrText>
            </w:r>
            <w:r w:rsidR="00863043">
              <w:rPr>
                <w:noProof/>
                <w:webHidden/>
              </w:rPr>
            </w:r>
            <w:r w:rsidR="00863043">
              <w:rPr>
                <w:noProof/>
                <w:webHidden/>
              </w:rPr>
              <w:fldChar w:fldCharType="separate"/>
            </w:r>
            <w:r w:rsidR="0083474F">
              <w:rPr>
                <w:noProof/>
                <w:webHidden/>
              </w:rPr>
              <w:t>15</w:t>
            </w:r>
            <w:r w:rsidR="00863043">
              <w:rPr>
                <w:noProof/>
                <w:webHidden/>
              </w:rPr>
              <w:fldChar w:fldCharType="end"/>
            </w:r>
          </w:hyperlink>
        </w:p>
        <w:p w14:paraId="11A26164" w14:textId="142EE1FB" w:rsidR="00863043" w:rsidRDefault="009D7657">
          <w:pPr>
            <w:pStyle w:val="TOC2"/>
            <w:rPr>
              <w:noProof/>
              <w:color w:val="auto"/>
              <w:sz w:val="22"/>
              <w:szCs w:val="22"/>
              <w:lang w:eastAsia="en-GB"/>
            </w:rPr>
          </w:pPr>
          <w:hyperlink w:anchor="_Toc91097895" w:history="1">
            <w:r w:rsidR="00863043" w:rsidRPr="001652AC">
              <w:rPr>
                <w:rStyle w:val="Hyperlink"/>
                <w:noProof/>
                <w:lang w:val="en-US"/>
              </w:rPr>
              <w:t>Key projects funded by African Development Bank loans</w:t>
            </w:r>
            <w:r w:rsidR="00863043">
              <w:rPr>
                <w:noProof/>
                <w:webHidden/>
              </w:rPr>
              <w:tab/>
            </w:r>
            <w:r w:rsidR="00863043">
              <w:rPr>
                <w:noProof/>
                <w:webHidden/>
              </w:rPr>
              <w:fldChar w:fldCharType="begin"/>
            </w:r>
            <w:r w:rsidR="00863043">
              <w:rPr>
                <w:noProof/>
                <w:webHidden/>
              </w:rPr>
              <w:instrText xml:space="preserve"> PAGEREF _Toc91097895 \h </w:instrText>
            </w:r>
            <w:r w:rsidR="00863043">
              <w:rPr>
                <w:noProof/>
                <w:webHidden/>
              </w:rPr>
            </w:r>
            <w:r w:rsidR="00863043">
              <w:rPr>
                <w:noProof/>
                <w:webHidden/>
              </w:rPr>
              <w:fldChar w:fldCharType="separate"/>
            </w:r>
            <w:r w:rsidR="0083474F">
              <w:rPr>
                <w:noProof/>
                <w:webHidden/>
              </w:rPr>
              <w:t>16</w:t>
            </w:r>
            <w:r w:rsidR="00863043">
              <w:rPr>
                <w:noProof/>
                <w:webHidden/>
              </w:rPr>
              <w:fldChar w:fldCharType="end"/>
            </w:r>
          </w:hyperlink>
        </w:p>
        <w:p w14:paraId="1D7EEBFB" w14:textId="46B1EFA8" w:rsidR="00863043" w:rsidRDefault="009D7657">
          <w:pPr>
            <w:pStyle w:val="TOC1"/>
            <w:rPr>
              <w:color w:val="auto"/>
              <w:sz w:val="22"/>
              <w:szCs w:val="22"/>
              <w:lang w:eastAsia="en-GB"/>
            </w:rPr>
          </w:pPr>
          <w:hyperlink w:anchor="_Toc91097896" w:history="1">
            <w:r w:rsidR="00863043" w:rsidRPr="001652AC">
              <w:rPr>
                <w:rStyle w:val="Hyperlink"/>
                <w:shd w:val="clear" w:color="auto" w:fill="FFFFFF"/>
              </w:rPr>
              <w:t>Debt sustainability</w:t>
            </w:r>
            <w:r w:rsidR="00863043">
              <w:rPr>
                <w:webHidden/>
              </w:rPr>
              <w:tab/>
            </w:r>
            <w:r w:rsidR="00863043">
              <w:rPr>
                <w:webHidden/>
              </w:rPr>
              <w:fldChar w:fldCharType="begin"/>
            </w:r>
            <w:r w:rsidR="00863043">
              <w:rPr>
                <w:webHidden/>
              </w:rPr>
              <w:instrText xml:space="preserve"> PAGEREF _Toc91097896 \h </w:instrText>
            </w:r>
            <w:r w:rsidR="00863043">
              <w:rPr>
                <w:webHidden/>
              </w:rPr>
            </w:r>
            <w:r w:rsidR="00863043">
              <w:rPr>
                <w:webHidden/>
              </w:rPr>
              <w:fldChar w:fldCharType="separate"/>
            </w:r>
            <w:r w:rsidR="0083474F">
              <w:rPr>
                <w:webHidden/>
              </w:rPr>
              <w:t>18</w:t>
            </w:r>
            <w:r w:rsidR="00863043">
              <w:rPr>
                <w:webHidden/>
              </w:rPr>
              <w:fldChar w:fldCharType="end"/>
            </w:r>
          </w:hyperlink>
        </w:p>
        <w:p w14:paraId="292FCDEF" w14:textId="4AB9EC53" w:rsidR="00863043" w:rsidRDefault="009D7657">
          <w:pPr>
            <w:pStyle w:val="TOC2"/>
            <w:rPr>
              <w:noProof/>
              <w:color w:val="auto"/>
              <w:sz w:val="22"/>
              <w:szCs w:val="22"/>
              <w:lang w:eastAsia="en-GB"/>
            </w:rPr>
          </w:pPr>
          <w:hyperlink w:anchor="_Toc91097897" w:history="1">
            <w:r w:rsidR="00863043" w:rsidRPr="001652AC">
              <w:rPr>
                <w:rStyle w:val="Hyperlink"/>
                <w:noProof/>
              </w:rPr>
              <w:t>Debt management</w:t>
            </w:r>
            <w:r w:rsidR="00863043">
              <w:rPr>
                <w:noProof/>
                <w:webHidden/>
              </w:rPr>
              <w:tab/>
            </w:r>
            <w:r w:rsidR="00863043">
              <w:rPr>
                <w:noProof/>
                <w:webHidden/>
              </w:rPr>
              <w:fldChar w:fldCharType="begin"/>
            </w:r>
            <w:r w:rsidR="00863043">
              <w:rPr>
                <w:noProof/>
                <w:webHidden/>
              </w:rPr>
              <w:instrText xml:space="preserve"> PAGEREF _Toc91097897 \h </w:instrText>
            </w:r>
            <w:r w:rsidR="00863043">
              <w:rPr>
                <w:noProof/>
                <w:webHidden/>
              </w:rPr>
            </w:r>
            <w:r w:rsidR="00863043">
              <w:rPr>
                <w:noProof/>
                <w:webHidden/>
              </w:rPr>
              <w:fldChar w:fldCharType="separate"/>
            </w:r>
            <w:r w:rsidR="0083474F">
              <w:rPr>
                <w:noProof/>
                <w:webHidden/>
              </w:rPr>
              <w:t>19</w:t>
            </w:r>
            <w:r w:rsidR="00863043">
              <w:rPr>
                <w:noProof/>
                <w:webHidden/>
              </w:rPr>
              <w:fldChar w:fldCharType="end"/>
            </w:r>
          </w:hyperlink>
        </w:p>
        <w:p w14:paraId="29FC03D2" w14:textId="381B2B30" w:rsidR="00863043" w:rsidRDefault="009D7657">
          <w:pPr>
            <w:pStyle w:val="TOC1"/>
            <w:rPr>
              <w:color w:val="auto"/>
              <w:sz w:val="22"/>
              <w:szCs w:val="22"/>
              <w:lang w:eastAsia="en-GB"/>
            </w:rPr>
          </w:pPr>
          <w:hyperlink w:anchor="_Toc91097898" w:history="1">
            <w:r w:rsidR="00863043" w:rsidRPr="001652AC">
              <w:rPr>
                <w:rStyle w:val="Hyperlink"/>
                <w:lang w:val="en-US"/>
              </w:rPr>
              <w:t>Summary</w:t>
            </w:r>
            <w:r w:rsidR="00863043">
              <w:rPr>
                <w:webHidden/>
              </w:rPr>
              <w:tab/>
            </w:r>
            <w:r w:rsidR="00863043">
              <w:rPr>
                <w:webHidden/>
              </w:rPr>
              <w:fldChar w:fldCharType="begin"/>
            </w:r>
            <w:r w:rsidR="00863043">
              <w:rPr>
                <w:webHidden/>
              </w:rPr>
              <w:instrText xml:space="preserve"> PAGEREF _Toc91097898 \h </w:instrText>
            </w:r>
            <w:r w:rsidR="00863043">
              <w:rPr>
                <w:webHidden/>
              </w:rPr>
            </w:r>
            <w:r w:rsidR="00863043">
              <w:rPr>
                <w:webHidden/>
              </w:rPr>
              <w:fldChar w:fldCharType="separate"/>
            </w:r>
            <w:r w:rsidR="0083474F">
              <w:rPr>
                <w:webHidden/>
              </w:rPr>
              <w:t>20</w:t>
            </w:r>
            <w:r w:rsidR="00863043">
              <w:rPr>
                <w:webHidden/>
              </w:rPr>
              <w:fldChar w:fldCharType="end"/>
            </w:r>
          </w:hyperlink>
        </w:p>
        <w:p w14:paraId="442B5965" w14:textId="197495BB" w:rsidR="00863043" w:rsidRDefault="009D7657">
          <w:pPr>
            <w:pStyle w:val="TOC1"/>
            <w:rPr>
              <w:color w:val="auto"/>
              <w:sz w:val="22"/>
              <w:szCs w:val="22"/>
              <w:lang w:eastAsia="en-GB"/>
            </w:rPr>
          </w:pPr>
          <w:hyperlink w:anchor="_Toc91097899" w:history="1">
            <w:r w:rsidR="00863043" w:rsidRPr="001652AC">
              <w:rPr>
                <w:rStyle w:val="Hyperlink"/>
              </w:rPr>
              <w:t>Annex</w:t>
            </w:r>
            <w:r w:rsidR="00863043">
              <w:rPr>
                <w:webHidden/>
              </w:rPr>
              <w:tab/>
            </w:r>
            <w:r w:rsidR="00863043">
              <w:rPr>
                <w:webHidden/>
              </w:rPr>
              <w:fldChar w:fldCharType="begin"/>
            </w:r>
            <w:r w:rsidR="00863043">
              <w:rPr>
                <w:webHidden/>
              </w:rPr>
              <w:instrText xml:space="preserve"> PAGEREF _Toc91097899 \h </w:instrText>
            </w:r>
            <w:r w:rsidR="00863043">
              <w:rPr>
                <w:webHidden/>
              </w:rPr>
            </w:r>
            <w:r w:rsidR="00863043">
              <w:rPr>
                <w:webHidden/>
              </w:rPr>
              <w:fldChar w:fldCharType="separate"/>
            </w:r>
            <w:r w:rsidR="0083474F">
              <w:rPr>
                <w:webHidden/>
              </w:rPr>
              <w:t>22</w:t>
            </w:r>
            <w:r w:rsidR="00863043">
              <w:rPr>
                <w:webHidden/>
              </w:rPr>
              <w:fldChar w:fldCharType="end"/>
            </w:r>
          </w:hyperlink>
        </w:p>
        <w:p w14:paraId="4E1143D1" w14:textId="3E9FB78A" w:rsidR="00863043" w:rsidRDefault="009D7657">
          <w:pPr>
            <w:pStyle w:val="TOC1"/>
            <w:rPr>
              <w:color w:val="auto"/>
              <w:sz w:val="22"/>
              <w:szCs w:val="22"/>
              <w:lang w:eastAsia="en-GB"/>
            </w:rPr>
          </w:pPr>
          <w:hyperlink w:anchor="_Toc91097900" w:history="1">
            <w:r w:rsidR="00863043" w:rsidRPr="001652AC">
              <w:rPr>
                <w:rStyle w:val="Hyperlink"/>
              </w:rPr>
              <w:t>Notes</w:t>
            </w:r>
            <w:r w:rsidR="00863043">
              <w:rPr>
                <w:webHidden/>
              </w:rPr>
              <w:tab/>
            </w:r>
            <w:r w:rsidR="00863043">
              <w:rPr>
                <w:webHidden/>
              </w:rPr>
              <w:fldChar w:fldCharType="begin"/>
            </w:r>
            <w:r w:rsidR="00863043">
              <w:rPr>
                <w:webHidden/>
              </w:rPr>
              <w:instrText xml:space="preserve"> PAGEREF _Toc91097900 \h </w:instrText>
            </w:r>
            <w:r w:rsidR="00863043">
              <w:rPr>
                <w:webHidden/>
              </w:rPr>
            </w:r>
            <w:r w:rsidR="00863043">
              <w:rPr>
                <w:webHidden/>
              </w:rPr>
              <w:fldChar w:fldCharType="separate"/>
            </w:r>
            <w:r w:rsidR="0083474F">
              <w:rPr>
                <w:webHidden/>
              </w:rPr>
              <w:t>25</w:t>
            </w:r>
            <w:r w:rsidR="00863043">
              <w:rPr>
                <w:webHidden/>
              </w:rPr>
              <w:fldChar w:fldCharType="end"/>
            </w:r>
          </w:hyperlink>
        </w:p>
        <w:p w14:paraId="770B518C" w14:textId="076397C0" w:rsidR="001A7436" w:rsidRDefault="001A7436" w:rsidP="001A7436">
          <w:pPr>
            <w:rPr>
              <w:noProof/>
            </w:rPr>
          </w:pPr>
          <w:r>
            <w:rPr>
              <w:b/>
              <w:bCs/>
              <w:noProof/>
            </w:rPr>
            <w:fldChar w:fldCharType="end"/>
          </w:r>
        </w:p>
      </w:sdtContent>
    </w:sdt>
    <w:p w14:paraId="6D697902" w14:textId="77777777" w:rsidR="001A7436" w:rsidRDefault="001A7436">
      <w:pPr>
        <w:spacing w:before="0" w:line="240" w:lineRule="auto"/>
        <w:rPr>
          <w:rFonts w:asciiTheme="majorHAnsi" w:eastAsiaTheme="majorEastAsia" w:hAnsiTheme="majorHAnsi" w:cstheme="majorBidi"/>
          <w:b/>
          <w:bCs/>
          <w:color w:val="C3105A" w:themeColor="text2"/>
          <w:sz w:val="60"/>
          <w:szCs w:val="32"/>
          <w:lang w:val="en-US"/>
        </w:rPr>
      </w:pPr>
      <w:r>
        <w:rPr>
          <w:lang w:val="en-US"/>
        </w:rPr>
        <w:br w:type="page"/>
      </w:r>
    </w:p>
    <w:p w14:paraId="62C45872" w14:textId="28DE2621" w:rsidR="00402750" w:rsidRDefault="00402750" w:rsidP="00402750">
      <w:pPr>
        <w:pStyle w:val="Heading1"/>
        <w:rPr>
          <w:lang w:val="en-US"/>
        </w:rPr>
      </w:pPr>
      <w:bookmarkStart w:id="1" w:name="_Introduction"/>
      <w:bookmarkStart w:id="2" w:name="_Toc91097884"/>
      <w:bookmarkEnd w:id="1"/>
      <w:r>
        <w:rPr>
          <w:lang w:val="en-US"/>
        </w:rPr>
        <w:lastRenderedPageBreak/>
        <w:t>Introduction</w:t>
      </w:r>
      <w:bookmarkEnd w:id="2"/>
    </w:p>
    <w:p w14:paraId="1B3FDE6C" w14:textId="19C25594" w:rsidR="0072233E" w:rsidRDefault="00CD1E0E" w:rsidP="00402750">
      <w:pPr>
        <w:rPr>
          <w:rFonts w:ascii="Roboto" w:hAnsi="Roboto"/>
          <w:color w:val="333333"/>
          <w:szCs w:val="20"/>
          <w:shd w:val="clear" w:color="auto" w:fill="FFFFFF"/>
        </w:rPr>
      </w:pPr>
      <w:r>
        <w:rPr>
          <w:lang w:val="en-US"/>
        </w:rPr>
        <w:t>D</w:t>
      </w:r>
      <w:r w:rsidR="0079421D">
        <w:rPr>
          <w:lang w:val="en-US"/>
        </w:rPr>
        <w:t xml:space="preserve">onor agencies </w:t>
      </w:r>
      <w:r>
        <w:rPr>
          <w:lang w:val="en-US"/>
        </w:rPr>
        <w:t>are</w:t>
      </w:r>
      <w:r w:rsidR="0079421D">
        <w:rPr>
          <w:lang w:val="en-US"/>
        </w:rPr>
        <w:t xml:space="preserve"> </w:t>
      </w:r>
      <w:r w:rsidR="00216B87">
        <w:rPr>
          <w:lang w:val="en-US"/>
        </w:rPr>
        <w:t xml:space="preserve">an </w:t>
      </w:r>
      <w:r w:rsidR="0079421D">
        <w:rPr>
          <w:lang w:val="en-US"/>
        </w:rPr>
        <w:t xml:space="preserve">important source </w:t>
      </w:r>
      <w:r w:rsidR="00C11A53">
        <w:rPr>
          <w:lang w:val="en-US"/>
        </w:rPr>
        <w:t>of</w:t>
      </w:r>
      <w:r w:rsidR="004E72E5">
        <w:rPr>
          <w:lang w:val="en-US"/>
        </w:rPr>
        <w:t xml:space="preserve"> the</w:t>
      </w:r>
      <w:r w:rsidR="00C11A53">
        <w:rPr>
          <w:lang w:val="en-US"/>
        </w:rPr>
        <w:t xml:space="preserve"> </w:t>
      </w:r>
      <w:r>
        <w:rPr>
          <w:lang w:val="en-US"/>
        </w:rPr>
        <w:t xml:space="preserve">financial </w:t>
      </w:r>
      <w:r w:rsidR="00C11A53">
        <w:rPr>
          <w:lang w:val="en-US"/>
        </w:rPr>
        <w:t>resources</w:t>
      </w:r>
      <w:r w:rsidR="0079421D">
        <w:rPr>
          <w:lang w:val="en-US"/>
        </w:rPr>
        <w:t xml:space="preserve"> that are helping Uganda</w:t>
      </w:r>
      <w:r w:rsidR="00C11A53">
        <w:rPr>
          <w:lang w:val="en-US"/>
        </w:rPr>
        <w:t xml:space="preserve"> address revenue sho</w:t>
      </w:r>
      <w:r w:rsidR="00C11A53" w:rsidRPr="00C61F94">
        <w:rPr>
          <w:rFonts w:cstheme="minorHAnsi"/>
          <w:lang w:val="en-US"/>
        </w:rPr>
        <w:t xml:space="preserve">rtfall in the </w:t>
      </w:r>
      <w:r w:rsidR="00C11A53" w:rsidRPr="00C61F94">
        <w:rPr>
          <w:rFonts w:cstheme="minorHAnsi"/>
          <w:color w:val="333333"/>
          <w:szCs w:val="20"/>
          <w:shd w:val="clear" w:color="auto" w:fill="FFFFFF"/>
        </w:rPr>
        <w:t>face of economic shocks amid efforts to contain the spread of C</w:t>
      </w:r>
      <w:r w:rsidR="004E72E5">
        <w:rPr>
          <w:rFonts w:cstheme="minorHAnsi"/>
          <w:color w:val="333333"/>
          <w:szCs w:val="20"/>
          <w:shd w:val="clear" w:color="auto" w:fill="FFFFFF"/>
        </w:rPr>
        <w:t>ovid</w:t>
      </w:r>
      <w:r w:rsidR="00C11A53" w:rsidRPr="00C61F94">
        <w:rPr>
          <w:rFonts w:cstheme="minorHAnsi"/>
          <w:color w:val="333333"/>
          <w:szCs w:val="20"/>
          <w:shd w:val="clear" w:color="auto" w:fill="FFFFFF"/>
        </w:rPr>
        <w:t>-19</w:t>
      </w:r>
      <w:r w:rsidR="00952813">
        <w:rPr>
          <w:rFonts w:cstheme="minorHAnsi"/>
          <w:color w:val="333333"/>
          <w:szCs w:val="20"/>
          <w:shd w:val="clear" w:color="auto" w:fill="FFFFFF"/>
        </w:rPr>
        <w:t xml:space="preserve"> and mitigate its negative impacts</w:t>
      </w:r>
      <w:r w:rsidR="00C11A53" w:rsidRPr="00C61F94">
        <w:rPr>
          <w:rFonts w:cstheme="minorHAnsi"/>
          <w:color w:val="333333"/>
          <w:szCs w:val="20"/>
          <w:shd w:val="clear" w:color="auto" w:fill="FFFFFF"/>
        </w:rPr>
        <w:t>.</w:t>
      </w:r>
      <w:r w:rsidR="0072233E">
        <w:rPr>
          <w:rFonts w:ascii="Roboto" w:hAnsi="Roboto"/>
          <w:color w:val="333333"/>
          <w:szCs w:val="20"/>
          <w:shd w:val="clear" w:color="auto" w:fill="FFFFFF"/>
        </w:rPr>
        <w:t xml:space="preserve"> </w:t>
      </w:r>
    </w:p>
    <w:p w14:paraId="2181EB74" w14:textId="59D5F8EC" w:rsidR="00402750" w:rsidRDefault="004E72E5" w:rsidP="00402750">
      <w:r>
        <w:rPr>
          <w:rFonts w:ascii="Roboto" w:hAnsi="Roboto"/>
          <w:color w:val="333333"/>
          <w:szCs w:val="20"/>
          <w:shd w:val="clear" w:color="auto" w:fill="FFFFFF"/>
        </w:rPr>
        <w:t xml:space="preserve">Between 2018 and 2021, </w:t>
      </w:r>
      <w:r>
        <w:rPr>
          <w:lang w:val="en-US"/>
        </w:rPr>
        <w:t>d</w:t>
      </w:r>
      <w:r w:rsidR="00402750">
        <w:rPr>
          <w:lang w:val="en-US"/>
        </w:rPr>
        <w:t xml:space="preserve">onor </w:t>
      </w:r>
      <w:r w:rsidR="00C11A53">
        <w:rPr>
          <w:lang w:val="en-US"/>
        </w:rPr>
        <w:t xml:space="preserve">aid to Uganda </w:t>
      </w:r>
      <w:r w:rsidR="00402750">
        <w:rPr>
          <w:lang w:val="en-US"/>
        </w:rPr>
        <w:t xml:space="preserve">has been a blend of both grants and loans. </w:t>
      </w:r>
      <w:r w:rsidR="006C6C4E">
        <w:rPr>
          <w:lang w:val="en-US"/>
        </w:rPr>
        <w:t>G</w:t>
      </w:r>
      <w:r>
        <w:rPr>
          <w:lang w:val="en-US"/>
        </w:rPr>
        <w:t>rants from</w:t>
      </w:r>
      <w:r w:rsidR="00C11A53">
        <w:rPr>
          <w:lang w:val="en-US"/>
        </w:rPr>
        <w:t xml:space="preserve"> </w:t>
      </w:r>
      <w:r w:rsidR="00CD1E0E">
        <w:rPr>
          <w:lang w:val="en-US"/>
        </w:rPr>
        <w:t xml:space="preserve">bilateral </w:t>
      </w:r>
      <w:r w:rsidR="006C6C4E">
        <w:rPr>
          <w:lang w:val="en-US"/>
        </w:rPr>
        <w:t xml:space="preserve">donors </w:t>
      </w:r>
      <w:r w:rsidR="00C11A53">
        <w:rPr>
          <w:lang w:val="en-US"/>
        </w:rPr>
        <w:t>remain the most significant</w:t>
      </w:r>
      <w:r w:rsidR="00CD1E0E">
        <w:rPr>
          <w:lang w:val="en-US"/>
        </w:rPr>
        <w:t xml:space="preserve"> source</w:t>
      </w:r>
      <w:r w:rsidR="00C11A53">
        <w:rPr>
          <w:lang w:val="en-US"/>
        </w:rPr>
        <w:t xml:space="preserve"> of </w:t>
      </w:r>
      <w:r>
        <w:rPr>
          <w:lang w:val="en-US"/>
        </w:rPr>
        <w:t>a</w:t>
      </w:r>
      <w:r w:rsidR="00C11A53">
        <w:rPr>
          <w:lang w:val="en-US"/>
        </w:rPr>
        <w:t>id to Uganda</w:t>
      </w:r>
      <w:r w:rsidR="006C6C4E">
        <w:rPr>
          <w:lang w:val="en-US"/>
        </w:rPr>
        <w:t>; however,</w:t>
      </w:r>
      <w:r w:rsidR="00C11A53">
        <w:rPr>
          <w:lang w:val="en-US"/>
        </w:rPr>
        <w:t xml:space="preserve"> e</w:t>
      </w:r>
      <w:r w:rsidR="00402750">
        <w:rPr>
          <w:lang w:val="en-US"/>
        </w:rPr>
        <w:t xml:space="preserve">vidence from our recent analysis on </w:t>
      </w:r>
      <w:hyperlink r:id="rId8" w:history="1">
        <w:r w:rsidR="00952813" w:rsidRPr="006C6C4E">
          <w:rPr>
            <w:rStyle w:val="Hyperlink"/>
            <w:lang w:val="en-US"/>
          </w:rPr>
          <w:t>a</w:t>
        </w:r>
        <w:r w:rsidR="00402750" w:rsidRPr="006C6C4E">
          <w:rPr>
            <w:rStyle w:val="Hyperlink"/>
            <w:lang w:val="en-US"/>
          </w:rPr>
          <w:t>id</w:t>
        </w:r>
        <w:r w:rsidR="00CD1E0E" w:rsidRPr="006C6C4E">
          <w:rPr>
            <w:rStyle w:val="Hyperlink"/>
            <w:lang w:val="en-US"/>
          </w:rPr>
          <w:t xml:space="preserve"> flows to Uganda </w:t>
        </w:r>
        <w:r w:rsidR="006C6C4E">
          <w:rPr>
            <w:rStyle w:val="Hyperlink"/>
            <w:lang w:val="en-US"/>
          </w:rPr>
          <w:t>before</w:t>
        </w:r>
        <w:r w:rsidR="00402750" w:rsidRPr="006C6C4E">
          <w:rPr>
            <w:rStyle w:val="Hyperlink"/>
            <w:lang w:val="en-US"/>
          </w:rPr>
          <w:t xml:space="preserve"> and during Covid</w:t>
        </w:r>
        <w:r w:rsidR="00AA0CDF" w:rsidRPr="006C6C4E">
          <w:rPr>
            <w:rStyle w:val="Hyperlink"/>
            <w:lang w:val="en-US"/>
          </w:rPr>
          <w:t>-19</w:t>
        </w:r>
      </w:hyperlink>
      <w:r w:rsidR="00C11A53">
        <w:rPr>
          <w:lang w:val="en-US"/>
        </w:rPr>
        <w:t xml:space="preserve"> revealed that </w:t>
      </w:r>
      <w:r w:rsidR="00610A11">
        <w:rPr>
          <w:lang w:val="en-US"/>
        </w:rPr>
        <w:t xml:space="preserve">the </w:t>
      </w:r>
      <w:r w:rsidR="00CD1E0E">
        <w:rPr>
          <w:lang w:val="en-US"/>
        </w:rPr>
        <w:t xml:space="preserve">overall profile of official development assistance (ODA) </w:t>
      </w:r>
      <w:r w:rsidR="00610A11">
        <w:rPr>
          <w:lang w:val="en-US"/>
        </w:rPr>
        <w:t xml:space="preserve">to the country </w:t>
      </w:r>
      <w:r w:rsidR="00CD1E0E">
        <w:rPr>
          <w:lang w:val="en-US"/>
        </w:rPr>
        <w:t>is switching</w:t>
      </w:r>
      <w:r w:rsidR="006C6C4E">
        <w:rPr>
          <w:lang w:val="en-US"/>
        </w:rPr>
        <w:t>.</w:t>
      </w:r>
      <w:r w:rsidR="00CD1E0E">
        <w:rPr>
          <w:lang w:val="en-US"/>
        </w:rPr>
        <w:t xml:space="preserve"> </w:t>
      </w:r>
      <w:r w:rsidR="006C6C4E">
        <w:rPr>
          <w:lang w:val="en-US"/>
        </w:rPr>
        <w:t>Uganda</w:t>
      </w:r>
      <w:r w:rsidR="0072233E">
        <w:rPr>
          <w:lang w:val="en-US"/>
        </w:rPr>
        <w:t xml:space="preserve"> now</w:t>
      </w:r>
      <w:r w:rsidR="006C6C4E">
        <w:rPr>
          <w:lang w:val="en-US"/>
        </w:rPr>
        <w:t xml:space="preserve"> receives an</w:t>
      </w:r>
      <w:r w:rsidR="00CD1E0E">
        <w:rPr>
          <w:lang w:val="en-US"/>
        </w:rPr>
        <w:t xml:space="preserve"> increased proportion of concessional loans</w:t>
      </w:r>
      <w:r w:rsidR="006C6C4E">
        <w:rPr>
          <w:lang w:val="en-US"/>
        </w:rPr>
        <w:t>,</w:t>
      </w:r>
      <w:r w:rsidR="00CD1E0E">
        <w:rPr>
          <w:lang w:val="en-US"/>
        </w:rPr>
        <w:t xml:space="preserve"> as </w:t>
      </w:r>
      <w:r w:rsidR="0072233E">
        <w:rPr>
          <w:lang w:val="en-US"/>
        </w:rPr>
        <w:t xml:space="preserve">key </w:t>
      </w:r>
      <w:r w:rsidR="00CD1E0E">
        <w:t>international financial institution</w:t>
      </w:r>
      <w:r w:rsidR="006C6C4E">
        <w:t>s</w:t>
      </w:r>
      <w:r w:rsidR="00CD1E0E" w:rsidRPr="00232821">
        <w:t xml:space="preserve"> </w:t>
      </w:r>
      <w:r w:rsidR="00CD1E0E">
        <w:t>(</w:t>
      </w:r>
      <w:r w:rsidR="00CD1E0E" w:rsidRPr="00232821">
        <w:t>IFI</w:t>
      </w:r>
      <w:r w:rsidR="006C6C4E">
        <w:t>s</w:t>
      </w:r>
      <w:r w:rsidR="00CD1E0E">
        <w:t>)</w:t>
      </w:r>
      <w:r w:rsidR="00CD1E0E" w:rsidRPr="00232821">
        <w:t xml:space="preserve"> lend significant</w:t>
      </w:r>
      <w:r w:rsidR="00CD1E0E">
        <w:t>ly increased loan disbursements to Uganda.</w:t>
      </w:r>
      <w:r w:rsidR="00402750">
        <w:rPr>
          <w:rStyle w:val="EndnoteReference"/>
          <w:lang w:val="en-US"/>
        </w:rPr>
        <w:endnoteReference w:id="2"/>
      </w:r>
    </w:p>
    <w:p w14:paraId="559E2E0A" w14:textId="3540B0A3" w:rsidR="006450DE" w:rsidRPr="009A4C02" w:rsidRDefault="00402750" w:rsidP="006450DE">
      <w:pPr>
        <w:rPr>
          <w:lang w:val="en-US"/>
        </w:rPr>
      </w:pPr>
      <w:bookmarkStart w:id="3" w:name="_Hlk88053908"/>
      <w:r w:rsidRPr="005F1C01">
        <w:rPr>
          <w:lang w:val="en-US"/>
        </w:rPr>
        <w:t>This brief</w:t>
      </w:r>
      <w:r w:rsidR="00E45363">
        <w:rPr>
          <w:lang w:val="en-US"/>
        </w:rPr>
        <w:t>ing</w:t>
      </w:r>
      <w:r w:rsidRPr="005F1C01">
        <w:rPr>
          <w:lang w:val="en-US"/>
        </w:rPr>
        <w:t xml:space="preserve"> presents in-depth analysis of the loans</w:t>
      </w:r>
      <w:r w:rsidR="00C11A53">
        <w:rPr>
          <w:lang w:val="en-US"/>
        </w:rPr>
        <w:t xml:space="preserve"> </w:t>
      </w:r>
      <w:r w:rsidRPr="005F1C01">
        <w:rPr>
          <w:lang w:val="en-US"/>
        </w:rPr>
        <w:t xml:space="preserve">advanced to </w:t>
      </w:r>
      <w:r w:rsidR="00C11A53">
        <w:rPr>
          <w:lang w:val="en-US"/>
        </w:rPr>
        <w:t xml:space="preserve">Uganda </w:t>
      </w:r>
      <w:r w:rsidR="00744571">
        <w:rPr>
          <w:lang w:val="en-US"/>
        </w:rPr>
        <w:t>from</w:t>
      </w:r>
      <w:r w:rsidR="00744571" w:rsidRPr="005F1C01">
        <w:rPr>
          <w:lang w:val="en-US"/>
        </w:rPr>
        <w:t xml:space="preserve"> </w:t>
      </w:r>
      <w:r w:rsidR="00C61F94">
        <w:rPr>
          <w:lang w:val="en-US"/>
        </w:rPr>
        <w:t xml:space="preserve">January </w:t>
      </w:r>
      <w:r w:rsidRPr="005F1C01">
        <w:rPr>
          <w:lang w:val="en-US"/>
        </w:rPr>
        <w:t xml:space="preserve">2018 and </w:t>
      </w:r>
      <w:r w:rsidR="00744571">
        <w:rPr>
          <w:lang w:val="en-US"/>
        </w:rPr>
        <w:t xml:space="preserve">until the end of </w:t>
      </w:r>
      <w:r w:rsidR="00C61F94">
        <w:rPr>
          <w:lang w:val="en-US"/>
        </w:rPr>
        <w:t xml:space="preserve">June </w:t>
      </w:r>
      <w:r w:rsidRPr="005F1C01">
        <w:rPr>
          <w:lang w:val="en-US"/>
        </w:rPr>
        <w:t>202</w:t>
      </w:r>
      <w:r w:rsidR="00C61F94">
        <w:rPr>
          <w:lang w:val="en-US"/>
        </w:rPr>
        <w:t>1</w:t>
      </w:r>
      <w:r w:rsidRPr="005F1C01">
        <w:rPr>
          <w:lang w:val="en-US"/>
        </w:rPr>
        <w:t xml:space="preserve"> </w:t>
      </w:r>
      <w:r>
        <w:rPr>
          <w:lang w:val="en-US"/>
        </w:rPr>
        <w:t>by</w:t>
      </w:r>
      <w:r w:rsidRPr="005F1C01">
        <w:rPr>
          <w:lang w:val="en-US"/>
        </w:rPr>
        <w:t xml:space="preserve"> </w:t>
      </w:r>
      <w:r w:rsidR="0072233E">
        <w:rPr>
          <w:lang w:val="en-US"/>
        </w:rPr>
        <w:t>three k</w:t>
      </w:r>
      <w:r w:rsidR="00543B97">
        <w:rPr>
          <w:lang w:val="en-US"/>
        </w:rPr>
        <w:t>e</w:t>
      </w:r>
      <w:r w:rsidR="0072233E">
        <w:rPr>
          <w:lang w:val="en-US"/>
        </w:rPr>
        <w:t xml:space="preserve">y </w:t>
      </w:r>
      <w:r w:rsidR="00CD1E0E">
        <w:rPr>
          <w:lang w:val="en-US"/>
        </w:rPr>
        <w:t>IFIs</w:t>
      </w:r>
      <w:r w:rsidRPr="005F1C01">
        <w:rPr>
          <w:lang w:val="en-US"/>
        </w:rPr>
        <w:t xml:space="preserve"> </w:t>
      </w:r>
      <w:r w:rsidR="0072233E">
        <w:rPr>
          <w:lang w:val="en-US"/>
        </w:rPr>
        <w:t>(</w:t>
      </w:r>
      <w:r w:rsidR="00C11A53">
        <w:rPr>
          <w:lang w:val="en-US"/>
        </w:rPr>
        <w:t>the</w:t>
      </w:r>
      <w:r w:rsidRPr="005F1C01">
        <w:rPr>
          <w:lang w:val="en-US"/>
        </w:rPr>
        <w:t xml:space="preserve"> African Development Bank (AfDB), </w:t>
      </w:r>
      <w:r w:rsidR="0015034D">
        <w:rPr>
          <w:lang w:val="en-US"/>
        </w:rPr>
        <w:t xml:space="preserve">the </w:t>
      </w:r>
      <w:r w:rsidRPr="005F1C01">
        <w:rPr>
          <w:lang w:val="en-US"/>
        </w:rPr>
        <w:t>International Monetary Fund (IMF)</w:t>
      </w:r>
      <w:r w:rsidR="0015034D">
        <w:rPr>
          <w:lang w:val="en-US"/>
        </w:rPr>
        <w:t xml:space="preserve"> and the </w:t>
      </w:r>
      <w:r w:rsidR="0015034D" w:rsidRPr="005F1C01">
        <w:rPr>
          <w:lang w:val="en-US"/>
        </w:rPr>
        <w:t>World Bank</w:t>
      </w:r>
      <w:r w:rsidR="0072233E">
        <w:rPr>
          <w:lang w:val="en-US"/>
        </w:rPr>
        <w:t>)</w:t>
      </w:r>
      <w:r w:rsidRPr="005F1C01">
        <w:rPr>
          <w:lang w:val="en-US"/>
        </w:rPr>
        <w:t xml:space="preserve">. </w:t>
      </w:r>
      <w:r w:rsidR="006450DE">
        <w:rPr>
          <w:lang w:val="en-US"/>
        </w:rPr>
        <w:t>The analysis a</w:t>
      </w:r>
      <w:r w:rsidR="006450DE" w:rsidRPr="009A4C02">
        <w:rPr>
          <w:lang w:val="en-US"/>
        </w:rPr>
        <w:t>ssess</w:t>
      </w:r>
      <w:r w:rsidR="006450DE">
        <w:rPr>
          <w:lang w:val="en-US"/>
        </w:rPr>
        <w:t xml:space="preserve">es </w:t>
      </w:r>
      <w:r w:rsidR="006450DE" w:rsidRPr="00BC7156">
        <w:rPr>
          <w:lang w:val="en-US"/>
        </w:rPr>
        <w:t>trends</w:t>
      </w:r>
      <w:r w:rsidR="006450DE">
        <w:rPr>
          <w:lang w:val="en-US"/>
        </w:rPr>
        <w:t xml:space="preserve">, </w:t>
      </w:r>
      <w:r w:rsidR="006450DE" w:rsidRPr="000C5875">
        <w:rPr>
          <w:lang w:val="en-US"/>
        </w:rPr>
        <w:t>lending terms</w:t>
      </w:r>
      <w:r w:rsidR="006450DE">
        <w:rPr>
          <w:lang w:val="en-US"/>
        </w:rPr>
        <w:t xml:space="preserve">, </w:t>
      </w:r>
      <w:r w:rsidR="006450DE" w:rsidRPr="009A4C02">
        <w:rPr>
          <w:lang w:val="en-US"/>
        </w:rPr>
        <w:t>target</w:t>
      </w:r>
      <w:r w:rsidR="006450DE">
        <w:rPr>
          <w:lang w:val="en-US"/>
        </w:rPr>
        <w:t>ing</w:t>
      </w:r>
      <w:r w:rsidR="006450DE" w:rsidRPr="009A4C02">
        <w:rPr>
          <w:lang w:val="en-US"/>
        </w:rPr>
        <w:t xml:space="preserve"> (sector focus) and debt sustainability. </w:t>
      </w:r>
    </w:p>
    <w:p w14:paraId="538BF286" w14:textId="77777777" w:rsidR="001131C8" w:rsidRDefault="001131C8" w:rsidP="00A61350">
      <w:pPr>
        <w:pStyle w:val="Boxtitle"/>
      </w:pPr>
      <w:bookmarkStart w:id="4" w:name="IATI"/>
      <w:bookmarkEnd w:id="3"/>
      <w:r>
        <w:t>Important note about the aid data used in this briefing</w:t>
      </w:r>
    </w:p>
    <w:bookmarkEnd w:id="4"/>
    <w:p w14:paraId="7DEB271E" w14:textId="4B1B3732" w:rsidR="00942B82" w:rsidRDefault="00942B82" w:rsidP="00744571">
      <w:pPr>
        <w:pStyle w:val="BoxStyle"/>
      </w:pPr>
      <w:r>
        <w:t>In this paper, we look at loans to show what funding has crossed into Uganda and how activities on the ground are affected.</w:t>
      </w:r>
    </w:p>
    <w:p w14:paraId="58E9C0F0" w14:textId="0DE3334D" w:rsidR="00610A11" w:rsidRDefault="001131C8" w:rsidP="00610A11">
      <w:pPr>
        <w:pStyle w:val="BoxStyle"/>
      </w:pPr>
      <w:r>
        <w:t xml:space="preserve">This analysis </w:t>
      </w:r>
      <w:r w:rsidR="006E2BDC">
        <w:t>uses</w:t>
      </w:r>
      <w:r>
        <w:t xml:space="preserve"> data published by donors to </w:t>
      </w:r>
      <w:r w:rsidR="004F5EB6" w:rsidRPr="005F1C01">
        <w:rPr>
          <w:szCs w:val="20"/>
          <w:lang w:val="en-US"/>
        </w:rPr>
        <w:t>the</w:t>
      </w:r>
      <w:r w:rsidR="004F5EB6" w:rsidRPr="005F1C01">
        <w:rPr>
          <w:rFonts w:ascii="Arial" w:hAnsi="Arial" w:cs="Arial"/>
          <w:szCs w:val="20"/>
          <w:shd w:val="clear" w:color="auto" w:fill="FFFFFF"/>
        </w:rPr>
        <w:t xml:space="preserve"> </w:t>
      </w:r>
      <w:hyperlink r:id="rId9" w:history="1">
        <w:r w:rsidR="004F5EB6" w:rsidRPr="00A731E4">
          <w:rPr>
            <w:rStyle w:val="Hyperlink"/>
            <w:rFonts w:ascii="Arial" w:hAnsi="Arial" w:cs="Arial"/>
            <w:szCs w:val="20"/>
            <w:shd w:val="clear" w:color="auto" w:fill="FFFFFF"/>
          </w:rPr>
          <w:t>International Aid Transparency Initiative</w:t>
        </w:r>
      </w:hyperlink>
      <w:r w:rsidR="004F5EB6" w:rsidRPr="005F1C01">
        <w:rPr>
          <w:rFonts w:ascii="Arial" w:hAnsi="Arial" w:cs="Arial"/>
          <w:sz w:val="21"/>
          <w:szCs w:val="21"/>
          <w:shd w:val="clear" w:color="auto" w:fill="FFFFFF"/>
        </w:rPr>
        <w:t xml:space="preserve"> (</w:t>
      </w:r>
      <w:r w:rsidR="004F5EB6" w:rsidRPr="005F1C01">
        <w:rPr>
          <w:lang w:val="en-US"/>
        </w:rPr>
        <w:t>IATI)</w:t>
      </w:r>
      <w:r w:rsidR="004F5EB6">
        <w:t xml:space="preserve"> </w:t>
      </w:r>
      <w:r>
        <w:t xml:space="preserve">– a major source of near real-time disbursements of aid. </w:t>
      </w:r>
      <w:r w:rsidR="00610A11">
        <w:t xml:space="preserve">The data in this briefing comprises all loan disbursements made by a consistent set of donors to all sectors, from January 2018 up to and including June 2021. </w:t>
      </w:r>
      <w:r w:rsidR="00A52ADA">
        <w:rPr>
          <w:lang w:val="en-US"/>
        </w:rPr>
        <w:t>The assessment did not consider loans from bilateral lenders, particularly China, which does not publish the terms and volumes of loans</w:t>
      </w:r>
      <w:r w:rsidR="00A52ADA" w:rsidRPr="0008084D">
        <w:rPr>
          <w:lang w:val="en-US"/>
        </w:rPr>
        <w:t>.</w:t>
      </w:r>
    </w:p>
    <w:p w14:paraId="7B32EE33" w14:textId="1A9B8E8E" w:rsidR="00942B82" w:rsidRDefault="00744571" w:rsidP="00942B82">
      <w:pPr>
        <w:pStyle w:val="BoxStyle"/>
      </w:pPr>
      <w:r>
        <w:t>N</w:t>
      </w:r>
      <w:r w:rsidR="00942B82">
        <w:t>ot all donors publish to IATI</w:t>
      </w:r>
      <w:r w:rsidR="004F5EB6">
        <w:t xml:space="preserve"> </w:t>
      </w:r>
      <w:r>
        <w:t>(</w:t>
      </w:r>
      <w:r w:rsidR="004F5EB6">
        <w:t xml:space="preserve">for example, </w:t>
      </w:r>
      <w:r w:rsidR="004F5EB6">
        <w:rPr>
          <w:lang w:val="en-US"/>
        </w:rPr>
        <w:t>the IMF has not published data to IATI since 2018 and so this study relied on the limited loan information published on its website</w:t>
      </w:r>
      <w:r w:rsidR="00610A11">
        <w:rPr>
          <w:lang w:val="en-US"/>
        </w:rPr>
        <w:t>)</w:t>
      </w:r>
      <w:r w:rsidR="004F5EB6">
        <w:rPr>
          <w:lang w:val="en-US"/>
        </w:rPr>
        <w:t>.</w:t>
      </w:r>
      <w:r w:rsidR="00942B82">
        <w:t xml:space="preserve"> </w:t>
      </w:r>
      <w:r>
        <w:t>Our</w:t>
      </w:r>
      <w:r w:rsidR="00942B82">
        <w:t xml:space="preserve"> analysis focuses on how disbursements have changed, rather than total flows. </w:t>
      </w:r>
    </w:p>
    <w:p w14:paraId="1CD15B33" w14:textId="66EAA9C3" w:rsidR="001131C8" w:rsidRDefault="001131C8" w:rsidP="00A61350">
      <w:pPr>
        <w:pStyle w:val="BoxStyle"/>
      </w:pPr>
      <w:r>
        <w:t xml:space="preserve">It is possible that more loans made in 2020 and 2021 will be published to IATI after this briefing; however, this is likely to have minimal impact on the findings based on the publishing habits of donors to date. </w:t>
      </w:r>
    </w:p>
    <w:p w14:paraId="26363DA5" w14:textId="0BF1E1E5" w:rsidR="000F2324" w:rsidRDefault="000F2324" w:rsidP="00A219B7">
      <w:pPr>
        <w:pStyle w:val="Heading1"/>
        <w:rPr>
          <w:lang w:val="en-US"/>
        </w:rPr>
      </w:pPr>
      <w:bookmarkStart w:id="5" w:name="_Toc91097885"/>
      <w:r>
        <w:rPr>
          <w:lang w:val="en-US"/>
        </w:rPr>
        <w:lastRenderedPageBreak/>
        <w:t>Key findings</w:t>
      </w:r>
      <w:bookmarkEnd w:id="5"/>
      <w:r>
        <w:rPr>
          <w:lang w:val="en-US"/>
        </w:rPr>
        <w:t xml:space="preserve"> </w:t>
      </w:r>
    </w:p>
    <w:p w14:paraId="5B817C66" w14:textId="091086F3" w:rsidR="00942B82" w:rsidRDefault="00942B82">
      <w:pPr>
        <w:rPr>
          <w:lang w:val="en-US"/>
        </w:rPr>
      </w:pPr>
      <w:r w:rsidRPr="00942B82">
        <w:rPr>
          <w:lang w:val="en-US"/>
        </w:rPr>
        <w:t xml:space="preserve">The following findings are drawn from analysis of aid flows from </w:t>
      </w:r>
      <w:r w:rsidR="00744571" w:rsidRPr="00D8132F">
        <w:rPr>
          <w:lang w:val="en-US"/>
        </w:rPr>
        <w:t>three</w:t>
      </w:r>
      <w:r w:rsidR="00744571" w:rsidRPr="00744571">
        <w:rPr>
          <w:lang w:val="en-US"/>
        </w:rPr>
        <w:t xml:space="preserve"> </w:t>
      </w:r>
      <w:r w:rsidR="00744571">
        <w:rPr>
          <w:lang w:val="en-US"/>
        </w:rPr>
        <w:t>key IFIs</w:t>
      </w:r>
      <w:r w:rsidR="00744571" w:rsidRPr="005F1C01">
        <w:rPr>
          <w:lang w:val="en-US"/>
        </w:rPr>
        <w:t xml:space="preserve"> </w:t>
      </w:r>
      <w:r w:rsidR="00744571">
        <w:rPr>
          <w:lang w:val="en-US"/>
        </w:rPr>
        <w:t>(the</w:t>
      </w:r>
      <w:r w:rsidR="00744571" w:rsidRPr="005F1C01">
        <w:rPr>
          <w:lang w:val="en-US"/>
        </w:rPr>
        <w:t xml:space="preserve"> African Development Bank (AfDB), </w:t>
      </w:r>
      <w:r w:rsidR="00744571">
        <w:rPr>
          <w:lang w:val="en-US"/>
        </w:rPr>
        <w:t xml:space="preserve">the </w:t>
      </w:r>
      <w:r w:rsidR="00744571" w:rsidRPr="005F1C01">
        <w:rPr>
          <w:lang w:val="en-US"/>
        </w:rPr>
        <w:t>International Monetary Fund (IMF)</w:t>
      </w:r>
      <w:r w:rsidR="00744571">
        <w:rPr>
          <w:lang w:val="en-US"/>
        </w:rPr>
        <w:t xml:space="preserve"> and the </w:t>
      </w:r>
      <w:r w:rsidR="00744571" w:rsidRPr="005F1C01">
        <w:rPr>
          <w:lang w:val="en-US"/>
        </w:rPr>
        <w:t>World Bank</w:t>
      </w:r>
      <w:r w:rsidR="00744571">
        <w:rPr>
          <w:lang w:val="en-US"/>
        </w:rPr>
        <w:t>) between</w:t>
      </w:r>
      <w:r w:rsidR="00744571" w:rsidRPr="005F1C01">
        <w:rPr>
          <w:lang w:val="en-US"/>
        </w:rPr>
        <w:t xml:space="preserve"> </w:t>
      </w:r>
      <w:r w:rsidR="00744571">
        <w:rPr>
          <w:lang w:val="en-US"/>
        </w:rPr>
        <w:t xml:space="preserve">January </w:t>
      </w:r>
      <w:r w:rsidR="00744571" w:rsidRPr="005F1C01">
        <w:rPr>
          <w:lang w:val="en-US"/>
        </w:rPr>
        <w:t xml:space="preserve">2018 and </w:t>
      </w:r>
      <w:r w:rsidR="00744571">
        <w:rPr>
          <w:lang w:val="en-US"/>
        </w:rPr>
        <w:t xml:space="preserve">June </w:t>
      </w:r>
      <w:r w:rsidR="00744571" w:rsidRPr="005F1C01">
        <w:rPr>
          <w:lang w:val="en-US"/>
        </w:rPr>
        <w:t>202</w:t>
      </w:r>
      <w:r w:rsidR="00744571">
        <w:rPr>
          <w:lang w:val="en-US"/>
        </w:rPr>
        <w:t>1</w:t>
      </w:r>
      <w:r w:rsidR="00744571" w:rsidRPr="005F1C01">
        <w:rPr>
          <w:lang w:val="en-US"/>
        </w:rPr>
        <w:t xml:space="preserve"> </w:t>
      </w:r>
      <w:r w:rsidR="00744571">
        <w:rPr>
          <w:lang w:val="en-US"/>
        </w:rPr>
        <w:t>(inclusive)</w:t>
      </w:r>
      <w:r w:rsidRPr="00942B82">
        <w:rPr>
          <w:lang w:val="en-US"/>
        </w:rPr>
        <w:t>. For more information</w:t>
      </w:r>
      <w:r w:rsidR="00923F51">
        <w:rPr>
          <w:lang w:val="en-US"/>
        </w:rPr>
        <w:t xml:space="preserve"> about the data</w:t>
      </w:r>
      <w:r w:rsidRPr="00942B82">
        <w:rPr>
          <w:lang w:val="en-US"/>
        </w:rPr>
        <w:t xml:space="preserve">, see our box on </w:t>
      </w:r>
      <w:hyperlink w:anchor="IATI" w:history="1">
        <w:r w:rsidR="00610A11">
          <w:rPr>
            <w:rStyle w:val="Hyperlink"/>
            <w:lang w:val="en-US"/>
          </w:rPr>
          <w:t>the data used in this briefing</w:t>
        </w:r>
      </w:hyperlink>
      <w:r w:rsidRPr="00942B82">
        <w:rPr>
          <w:lang w:val="en-US"/>
        </w:rPr>
        <w:t>.</w:t>
      </w:r>
    </w:p>
    <w:p w14:paraId="1C287B56" w14:textId="66A20D96" w:rsidR="00923F51" w:rsidRDefault="00923F51" w:rsidP="00923F51">
      <w:pPr>
        <w:pStyle w:val="ListParagraph"/>
        <w:rPr>
          <w:lang w:val="en-US"/>
        </w:rPr>
      </w:pPr>
      <w:r>
        <w:rPr>
          <w:lang w:val="en-US"/>
        </w:rPr>
        <w:t xml:space="preserve">The financial strain linked to the impact of the Covid-19 pandemic has resulted in a significant increase in the disbursement of loans from IFIs. For instance, loan disbursement to Uganda increased by 36% from 2018 to 2019, and by 192% from 2019 to 2020 (see </w:t>
      </w:r>
      <w:hyperlink w:anchor="Fig1" w:history="1">
        <w:r w:rsidRPr="00E7430A">
          <w:rPr>
            <w:rStyle w:val="Hyperlink"/>
            <w:lang w:val="en-US"/>
          </w:rPr>
          <w:t>Figure 1</w:t>
        </w:r>
      </w:hyperlink>
      <w:r>
        <w:rPr>
          <w:lang w:val="en-US"/>
        </w:rPr>
        <w:t>). The change from 2020 to 2021 cannot be accurately estimated because the data for 2021 is incomplete.</w:t>
      </w:r>
    </w:p>
    <w:p w14:paraId="0EE0BF40" w14:textId="32CF4D7C" w:rsidR="009A3D1D" w:rsidRPr="00687691" w:rsidRDefault="000004FE" w:rsidP="00744571">
      <w:pPr>
        <w:pStyle w:val="ListParagraph"/>
        <w:rPr>
          <w:lang w:val="en-US"/>
        </w:rPr>
      </w:pPr>
      <w:r w:rsidRPr="00687691">
        <w:rPr>
          <w:lang w:val="en-US"/>
        </w:rPr>
        <w:t>M</w:t>
      </w:r>
      <w:r w:rsidR="009A3D1D" w:rsidRPr="00687691">
        <w:rPr>
          <w:lang w:val="en-US"/>
        </w:rPr>
        <w:t xml:space="preserve">ore than half (56%) of the total loans disbursed in volume terms during the period under review were from new loan commitments and disbursements from </w:t>
      </w:r>
      <w:r w:rsidR="005F6E56">
        <w:rPr>
          <w:lang w:val="en-US"/>
        </w:rPr>
        <w:t xml:space="preserve">the </w:t>
      </w:r>
      <w:r w:rsidR="009A3D1D" w:rsidRPr="00687691">
        <w:rPr>
          <w:lang w:val="en-US"/>
        </w:rPr>
        <w:t>World Bank and IMF in 2020 and 2021 alone</w:t>
      </w:r>
      <w:r w:rsidR="00941914" w:rsidRPr="00687691">
        <w:rPr>
          <w:lang w:val="en-US"/>
        </w:rPr>
        <w:t xml:space="preserve"> (</w:t>
      </w:r>
      <w:hyperlink w:anchor="Fig1" w:history="1">
        <w:r w:rsidR="00923F51" w:rsidRPr="004F07F7">
          <w:rPr>
            <w:rStyle w:val="Hyperlink"/>
            <w:lang w:val="en-US"/>
          </w:rPr>
          <w:t>F</w:t>
        </w:r>
        <w:r w:rsidR="00941914" w:rsidRPr="004F07F7">
          <w:rPr>
            <w:rStyle w:val="Hyperlink"/>
            <w:lang w:val="en-US"/>
          </w:rPr>
          <w:t>igure 1</w:t>
        </w:r>
      </w:hyperlink>
      <w:r w:rsidR="00941914" w:rsidRPr="00687691">
        <w:rPr>
          <w:lang w:val="en-US"/>
        </w:rPr>
        <w:t>)</w:t>
      </w:r>
      <w:r w:rsidR="009A3D1D" w:rsidRPr="00687691">
        <w:rPr>
          <w:lang w:val="en-US"/>
        </w:rPr>
        <w:t xml:space="preserve">. The rest included disbursement from old loan commitments made earlier. </w:t>
      </w:r>
    </w:p>
    <w:p w14:paraId="5B19DAF5" w14:textId="6EB437AB" w:rsidR="00FD7228" w:rsidRDefault="00FD7228" w:rsidP="00942B82">
      <w:pPr>
        <w:pStyle w:val="ListParagraph"/>
        <w:rPr>
          <w:lang w:val="en-US"/>
        </w:rPr>
      </w:pPr>
      <w:r>
        <w:t xml:space="preserve">The </w:t>
      </w:r>
      <w:r w:rsidRPr="009049C0">
        <w:t xml:space="preserve">World </w:t>
      </w:r>
      <w:r w:rsidRPr="00C52B40">
        <w:t xml:space="preserve">Bank, Uganda’s biggest </w:t>
      </w:r>
      <w:r w:rsidR="001668EF">
        <w:t>lender</w:t>
      </w:r>
      <w:r w:rsidR="00640285">
        <w:t xml:space="preserve">, </w:t>
      </w:r>
      <w:r>
        <w:rPr>
          <w:lang w:val="en-US"/>
        </w:rPr>
        <w:t xml:space="preserve">advanced a total of US$1.4 billion to </w:t>
      </w:r>
      <w:r w:rsidR="005F6E56">
        <w:rPr>
          <w:lang w:val="en-US"/>
        </w:rPr>
        <w:t>the country</w:t>
      </w:r>
      <w:r w:rsidR="00FF0094">
        <w:rPr>
          <w:lang w:val="en-US"/>
        </w:rPr>
        <w:t>:</w:t>
      </w:r>
      <w:r w:rsidR="00695328">
        <w:rPr>
          <w:lang w:val="en-US"/>
        </w:rPr>
        <w:t xml:space="preserve"> 50% of the loans disbursed by the three IFIs </w:t>
      </w:r>
      <w:r>
        <w:rPr>
          <w:lang w:val="en-US"/>
        </w:rPr>
        <w:t xml:space="preserve">from </w:t>
      </w:r>
      <w:r w:rsidR="005F6E56">
        <w:rPr>
          <w:lang w:val="en-US"/>
        </w:rPr>
        <w:t xml:space="preserve">January </w:t>
      </w:r>
      <w:r>
        <w:rPr>
          <w:lang w:val="en-US"/>
        </w:rPr>
        <w:t>2018 to June 2021</w:t>
      </w:r>
      <w:r w:rsidR="00FF0094">
        <w:rPr>
          <w:lang w:val="en-US"/>
        </w:rPr>
        <w:t>.</w:t>
      </w:r>
      <w:r>
        <w:rPr>
          <w:lang w:val="en-US"/>
        </w:rPr>
        <w:t xml:space="preserve"> </w:t>
      </w:r>
      <w:r w:rsidR="00FF0094">
        <w:rPr>
          <w:lang w:val="en-US"/>
        </w:rPr>
        <w:t>The World Bank</w:t>
      </w:r>
      <w:r>
        <w:rPr>
          <w:lang w:val="en-US"/>
        </w:rPr>
        <w:t xml:space="preserve"> substantial</w:t>
      </w:r>
      <w:r w:rsidR="00FF0094">
        <w:rPr>
          <w:lang w:val="en-US"/>
        </w:rPr>
        <w:t>ly</w:t>
      </w:r>
      <w:r>
        <w:rPr>
          <w:lang w:val="en-US"/>
        </w:rPr>
        <w:t xml:space="preserve"> increase</w:t>
      </w:r>
      <w:r w:rsidR="00FF0094">
        <w:rPr>
          <w:lang w:val="en-US"/>
        </w:rPr>
        <w:t>d</w:t>
      </w:r>
      <w:r>
        <w:rPr>
          <w:lang w:val="en-US"/>
        </w:rPr>
        <w:t xml:space="preserve"> loans </w:t>
      </w:r>
      <w:r w:rsidR="005F6E56">
        <w:rPr>
          <w:lang w:val="en-US"/>
        </w:rPr>
        <w:t>made</w:t>
      </w:r>
      <w:r>
        <w:rPr>
          <w:lang w:val="en-US"/>
        </w:rPr>
        <w:t xml:space="preserve"> in 2020</w:t>
      </w:r>
      <w:r w:rsidR="005F6E56">
        <w:rPr>
          <w:lang w:val="en-US"/>
        </w:rPr>
        <w:t xml:space="preserve">, </w:t>
      </w:r>
      <w:r>
        <w:rPr>
          <w:lang w:val="en-US"/>
        </w:rPr>
        <w:t>compared to 2018 and 2019</w:t>
      </w:r>
      <w:r w:rsidR="00680CBD">
        <w:rPr>
          <w:lang w:val="en-US"/>
        </w:rPr>
        <w:t xml:space="preserve"> (</w:t>
      </w:r>
      <w:hyperlink w:anchor="Fig2" w:history="1">
        <w:r w:rsidR="00923F51" w:rsidRPr="004F07F7">
          <w:rPr>
            <w:rStyle w:val="Hyperlink"/>
            <w:lang w:val="en-US"/>
          </w:rPr>
          <w:t>F</w:t>
        </w:r>
        <w:r w:rsidR="00680CBD" w:rsidRPr="004F07F7">
          <w:rPr>
            <w:rStyle w:val="Hyperlink"/>
            <w:lang w:val="en-US"/>
          </w:rPr>
          <w:t>igure 2</w:t>
        </w:r>
      </w:hyperlink>
      <w:r w:rsidR="00680CBD">
        <w:rPr>
          <w:lang w:val="en-US"/>
        </w:rPr>
        <w:t>)</w:t>
      </w:r>
      <w:r>
        <w:rPr>
          <w:lang w:val="en-US"/>
        </w:rPr>
        <w:t xml:space="preserve">. </w:t>
      </w:r>
    </w:p>
    <w:p w14:paraId="7A375605" w14:textId="0AAAAFA7" w:rsidR="00D71E6B" w:rsidRDefault="00FF0094" w:rsidP="00942B82">
      <w:pPr>
        <w:pStyle w:val="ListParagraph"/>
      </w:pPr>
      <w:r>
        <w:t>The g</w:t>
      </w:r>
      <w:r w:rsidR="00C21BB7" w:rsidRPr="00C52B40">
        <w:t xml:space="preserve">overnance and </w:t>
      </w:r>
      <w:r>
        <w:t>s</w:t>
      </w:r>
      <w:r w:rsidR="00C21BB7" w:rsidRPr="00C52B40">
        <w:t xml:space="preserve">ecurity sector </w:t>
      </w:r>
      <w:proofErr w:type="gramStart"/>
      <w:r w:rsidR="005F6E56">
        <w:t>wa</w:t>
      </w:r>
      <w:r w:rsidR="00640285">
        <w:t>s</w:t>
      </w:r>
      <w:proofErr w:type="gramEnd"/>
      <w:r w:rsidR="00640285">
        <w:t xml:space="preserve"> the biggest </w:t>
      </w:r>
      <w:r w:rsidR="00954542">
        <w:t>beneficiary</w:t>
      </w:r>
      <w:r w:rsidR="00640285">
        <w:t xml:space="preserve"> of these loans. </w:t>
      </w:r>
      <w:r w:rsidR="00C21BB7" w:rsidRPr="00C52B40">
        <w:t xml:space="preserve">Allocations to </w:t>
      </w:r>
      <w:r w:rsidR="00954542">
        <w:t>the sector</w:t>
      </w:r>
      <w:r w:rsidR="00C21BB7" w:rsidRPr="00C52B40">
        <w:t xml:space="preserve"> increased significantly</w:t>
      </w:r>
      <w:r w:rsidR="00D71E6B">
        <w:t>,</w:t>
      </w:r>
      <w:r w:rsidR="00C21BB7" w:rsidRPr="00C52B40">
        <w:t xml:space="preserve"> by 1</w:t>
      </w:r>
      <w:r>
        <w:t>,</w:t>
      </w:r>
      <w:r w:rsidR="00C21BB7" w:rsidRPr="00C52B40">
        <w:t>433% from 2018 to 2019</w:t>
      </w:r>
      <w:r w:rsidR="00D71E6B">
        <w:t>,</w:t>
      </w:r>
      <w:r w:rsidR="00C21BB7" w:rsidRPr="00C52B40">
        <w:t xml:space="preserve"> and by 450% from 2019 to 2020</w:t>
      </w:r>
      <w:r w:rsidR="00716B59">
        <w:t xml:space="preserve"> </w:t>
      </w:r>
      <w:r w:rsidR="00680CBD">
        <w:t>(</w:t>
      </w:r>
      <w:hyperlink w:anchor="Fig4" w:history="1">
        <w:r w:rsidR="00923F51" w:rsidRPr="004F07F7">
          <w:rPr>
            <w:rStyle w:val="Hyperlink"/>
          </w:rPr>
          <w:t>F</w:t>
        </w:r>
        <w:r w:rsidR="00680CBD" w:rsidRPr="004F07F7">
          <w:rPr>
            <w:rStyle w:val="Hyperlink"/>
          </w:rPr>
          <w:t>igure</w:t>
        </w:r>
        <w:r w:rsidR="00D459FA" w:rsidRPr="004F07F7">
          <w:rPr>
            <w:rStyle w:val="Hyperlink"/>
          </w:rPr>
          <w:t xml:space="preserve"> 4</w:t>
        </w:r>
      </w:hyperlink>
      <w:r w:rsidR="00680CBD">
        <w:t>)</w:t>
      </w:r>
      <w:r w:rsidR="00716B59">
        <w:t xml:space="preserve"> </w:t>
      </w:r>
      <w:r w:rsidR="00682962">
        <w:t>mainly as a result of the World Bank’s</w:t>
      </w:r>
      <w:r w:rsidR="00530FEF">
        <w:t xml:space="preserve"> disbursements to the</w:t>
      </w:r>
      <w:r w:rsidR="00682962">
        <w:t xml:space="preserve"> </w:t>
      </w:r>
      <w:r w:rsidR="00682962" w:rsidRPr="00682962">
        <w:t>Uganda Covid-19 Economic Crisis and Recovery Development Policy</w:t>
      </w:r>
      <w:r w:rsidR="00530FEF">
        <w:t xml:space="preserve"> project.</w:t>
      </w:r>
    </w:p>
    <w:p w14:paraId="33C21DBE" w14:textId="311AD26E" w:rsidR="00C21BB7" w:rsidRDefault="00D71E6B" w:rsidP="00942B82">
      <w:pPr>
        <w:pStyle w:val="ListParagraph"/>
      </w:pPr>
      <w:r>
        <w:t>During the pandemic</w:t>
      </w:r>
      <w:r w:rsidR="002F4953">
        <w:t>,</w:t>
      </w:r>
      <w:r w:rsidR="00954542">
        <w:t xml:space="preserve"> </w:t>
      </w:r>
      <w:r w:rsidR="002D5DCE">
        <w:t xml:space="preserve">there </w:t>
      </w:r>
      <w:r>
        <w:t>has been</w:t>
      </w:r>
      <w:r w:rsidR="002D5DCE">
        <w:t xml:space="preserve"> no change in sector focus towards the</w:t>
      </w:r>
      <w:r w:rsidR="002F4953">
        <w:t xml:space="preserve"> health sector</w:t>
      </w:r>
      <w:r w:rsidR="00E35342">
        <w:t>, wh</w:t>
      </w:r>
      <w:r>
        <w:t>ich</w:t>
      </w:r>
      <w:r w:rsidR="00E35342">
        <w:t xml:space="preserve"> </w:t>
      </w:r>
      <w:r>
        <w:t>was not</w:t>
      </w:r>
      <w:r w:rsidR="00E35342">
        <w:t xml:space="preserve"> priorit</w:t>
      </w:r>
      <w:r>
        <w:t>ised</w:t>
      </w:r>
      <w:r w:rsidR="00E35342">
        <w:t xml:space="preserve"> </w:t>
      </w:r>
      <w:r>
        <w:t xml:space="preserve">by </w:t>
      </w:r>
      <w:r w:rsidR="00E35342">
        <w:t>IFIs during the period under review</w:t>
      </w:r>
      <w:r w:rsidR="00D459FA">
        <w:t xml:space="preserve"> (</w:t>
      </w:r>
      <w:hyperlink w:anchor="Fig4" w:history="1">
        <w:r w:rsidR="00923F51" w:rsidRPr="004F07F7">
          <w:rPr>
            <w:rStyle w:val="Hyperlink"/>
          </w:rPr>
          <w:t>F</w:t>
        </w:r>
        <w:r w:rsidR="00D459FA" w:rsidRPr="004F07F7">
          <w:rPr>
            <w:rStyle w:val="Hyperlink"/>
          </w:rPr>
          <w:t>igure 4</w:t>
        </w:r>
      </w:hyperlink>
      <w:r w:rsidR="00D459FA">
        <w:t>).</w:t>
      </w:r>
      <w:r w:rsidR="002F4953">
        <w:t xml:space="preserve"> </w:t>
      </w:r>
    </w:p>
    <w:p w14:paraId="381E40AC" w14:textId="547DEF8B" w:rsidR="00C21BB7" w:rsidRPr="00D71E6B" w:rsidRDefault="00D71E6B" w:rsidP="00D71E6B">
      <w:pPr>
        <w:pStyle w:val="ListParagraph"/>
        <w:rPr>
          <w:b/>
          <w:bCs/>
        </w:rPr>
      </w:pPr>
      <w:r>
        <w:t>T</w:t>
      </w:r>
      <w:r w:rsidR="00C21BB7" w:rsidRPr="00AB7495">
        <w:t xml:space="preserve">he </w:t>
      </w:r>
      <w:r>
        <w:t>IMF</w:t>
      </w:r>
      <w:r w:rsidR="00C21BB7" w:rsidRPr="00AB7495">
        <w:t xml:space="preserve"> </w:t>
      </w:r>
      <w:r>
        <w:t>disbursed l</w:t>
      </w:r>
      <w:r w:rsidRPr="00AB7495">
        <w:t xml:space="preserve">oans </w:t>
      </w:r>
      <w:r w:rsidR="00C21BB7" w:rsidRPr="00AB7495">
        <w:t xml:space="preserve">under the </w:t>
      </w:r>
      <w:r w:rsidR="004B48BF">
        <w:t>R</w:t>
      </w:r>
      <w:r w:rsidR="00C21BB7" w:rsidRPr="00AB7495">
        <w:t>apid</w:t>
      </w:r>
      <w:r w:rsidR="004B48BF">
        <w:t xml:space="preserve"> Credit Facility</w:t>
      </w:r>
      <w:r w:rsidR="00C21BB7" w:rsidRPr="00AB7495">
        <w:t xml:space="preserve"> and </w:t>
      </w:r>
      <w:r w:rsidR="004B48BF">
        <w:t>the E</w:t>
      </w:r>
      <w:r w:rsidR="00C21BB7" w:rsidRPr="00AB7495">
        <w:t xml:space="preserve">xtended </w:t>
      </w:r>
      <w:r w:rsidR="004B48BF">
        <w:t>C</w:t>
      </w:r>
      <w:r w:rsidR="00C21BB7" w:rsidRPr="00AB7495">
        <w:t xml:space="preserve">redit </w:t>
      </w:r>
      <w:r w:rsidR="004B48BF">
        <w:t>F</w:t>
      </w:r>
      <w:r w:rsidR="00C21BB7" w:rsidRPr="00AB7495">
        <w:t>acilit</w:t>
      </w:r>
      <w:r w:rsidR="00E96770">
        <w:t>y</w:t>
      </w:r>
      <w:r w:rsidR="004B48BF">
        <w:t>,</w:t>
      </w:r>
      <w:r w:rsidR="00C21BB7" w:rsidRPr="00AB7495">
        <w:t xml:space="preserve"> </w:t>
      </w:r>
      <w:r w:rsidR="00FC34AD">
        <w:t>in 2020 and 2021 respectively</w:t>
      </w:r>
      <w:r>
        <w:t>. These</w:t>
      </w:r>
      <w:r w:rsidR="00FC34AD">
        <w:t xml:space="preserve"> </w:t>
      </w:r>
      <w:r w:rsidR="00C21BB7" w:rsidRPr="00AB7495">
        <w:t>were targeted at cushioning Uganda from</w:t>
      </w:r>
      <w:r w:rsidR="00E96770">
        <w:t xml:space="preserve"> the</w:t>
      </w:r>
      <w:r w:rsidR="00C21BB7" w:rsidRPr="00AB7495">
        <w:t xml:space="preserve"> pandemic</w:t>
      </w:r>
      <w:r w:rsidR="004B48BF">
        <w:t>’s</w:t>
      </w:r>
      <w:r w:rsidR="00C21BB7" w:rsidRPr="00AB7495">
        <w:t xml:space="preserve"> </w:t>
      </w:r>
      <w:r w:rsidR="004B48BF">
        <w:t xml:space="preserve">economic </w:t>
      </w:r>
      <w:r w:rsidR="00C21BB7" w:rsidRPr="00AB7495">
        <w:t xml:space="preserve">shock. </w:t>
      </w:r>
    </w:p>
    <w:p w14:paraId="22014038" w14:textId="121689B4" w:rsidR="00C21BB7" w:rsidRPr="00AB7495" w:rsidRDefault="004B48BF" w:rsidP="00942B82">
      <w:pPr>
        <w:pStyle w:val="ListParagraph"/>
        <w:rPr>
          <w:b/>
          <w:bCs/>
        </w:rPr>
      </w:pPr>
      <w:r>
        <w:t>The AfDB</w:t>
      </w:r>
      <w:r w:rsidR="00E96770">
        <w:t>’s</w:t>
      </w:r>
      <w:r w:rsidR="00C21BB7" w:rsidRPr="00AB7495">
        <w:t xml:space="preserve"> lending focus was on pro-poor sectors </w:t>
      </w:r>
      <w:r>
        <w:t>such as</w:t>
      </w:r>
      <w:r w:rsidRPr="00AB7495">
        <w:t xml:space="preserve"> </w:t>
      </w:r>
      <w:r w:rsidR="00C21BB7" w:rsidRPr="00AB7495">
        <w:t xml:space="preserve">infrastructure, </w:t>
      </w:r>
      <w:r w:rsidR="00E96770">
        <w:t xml:space="preserve">education, and </w:t>
      </w:r>
      <w:r w:rsidR="00C21BB7" w:rsidRPr="00AB7495">
        <w:t xml:space="preserve">water and sanitation </w:t>
      </w:r>
      <w:r w:rsidR="00D459FA">
        <w:t>(</w:t>
      </w:r>
      <w:r w:rsidR="00530FEF">
        <w:t>which have</w:t>
      </w:r>
      <w:r w:rsidR="00C21BB7" w:rsidRPr="00AB7495">
        <w:t xml:space="preserve"> long-term </w:t>
      </w:r>
      <w:r w:rsidR="00923F51">
        <w:t>impacts</w:t>
      </w:r>
      <w:r w:rsidR="00D459FA">
        <w:t>)</w:t>
      </w:r>
      <w:r w:rsidR="00C21BB7" w:rsidRPr="00AB7495">
        <w:t xml:space="preserve"> and </w:t>
      </w:r>
      <w:r w:rsidR="00E96770">
        <w:t xml:space="preserve">the </w:t>
      </w:r>
      <w:r w:rsidR="00C21BB7" w:rsidRPr="00AB7495">
        <w:t xml:space="preserve">agriculture and food security sector </w:t>
      </w:r>
      <w:r>
        <w:t>(</w:t>
      </w:r>
      <w:r w:rsidR="00530FEF">
        <w:t>which have</w:t>
      </w:r>
      <w:r w:rsidR="00C21BB7" w:rsidRPr="00AB7495">
        <w:t xml:space="preserve"> short</w:t>
      </w:r>
      <w:r>
        <w:t>-</w:t>
      </w:r>
      <w:r w:rsidR="00C21BB7" w:rsidRPr="00AB7495">
        <w:t xml:space="preserve"> to medium</w:t>
      </w:r>
      <w:r>
        <w:t>-</w:t>
      </w:r>
      <w:r w:rsidR="00C21BB7" w:rsidRPr="00AB7495">
        <w:t xml:space="preserve">term </w:t>
      </w:r>
      <w:r w:rsidR="00923F51">
        <w:t>impacts</w:t>
      </w:r>
      <w:r>
        <w:t>)</w:t>
      </w:r>
      <w:r w:rsidR="00923F51">
        <w:t xml:space="preserve"> – see</w:t>
      </w:r>
      <w:r w:rsidR="00D459FA">
        <w:t xml:space="preserve"> </w:t>
      </w:r>
      <w:hyperlink w:anchor="Fig7" w:history="1">
        <w:r w:rsidR="00D459FA" w:rsidRPr="004F07F7">
          <w:rPr>
            <w:rStyle w:val="Hyperlink"/>
          </w:rPr>
          <w:t>Figure 7</w:t>
        </w:r>
      </w:hyperlink>
      <w:r>
        <w:t>.</w:t>
      </w:r>
      <w:r w:rsidR="00C21BB7" w:rsidRPr="00AB7495">
        <w:t xml:space="preserve"> </w:t>
      </w:r>
    </w:p>
    <w:p w14:paraId="5CDFBD44" w14:textId="69B6E62A" w:rsidR="00F8452B" w:rsidRPr="00F8452B" w:rsidRDefault="00FC34AD" w:rsidP="00942B82">
      <w:pPr>
        <w:pStyle w:val="ListParagraph"/>
        <w:rPr>
          <w:shd w:val="clear" w:color="auto" w:fill="FFFFFF"/>
        </w:rPr>
      </w:pPr>
      <w:r>
        <w:t xml:space="preserve">The </w:t>
      </w:r>
      <w:r w:rsidR="00F8452B" w:rsidRPr="00FC34AD">
        <w:t>IMF</w:t>
      </w:r>
      <w:r>
        <w:t xml:space="preserve"> and W</w:t>
      </w:r>
      <w:r w:rsidR="00F8452B" w:rsidRPr="00AB7495">
        <w:t xml:space="preserve">orld Bank </w:t>
      </w:r>
      <w:r w:rsidR="00F8452B" w:rsidRPr="00FC34AD">
        <w:rPr>
          <w:shd w:val="clear" w:color="auto" w:fill="FFFFFF"/>
        </w:rPr>
        <w:t>lending rates to Uganda for ODA have historically been below market rates (concessional)</w:t>
      </w:r>
      <w:r w:rsidR="001A47AA">
        <w:rPr>
          <w:shd w:val="clear" w:color="auto" w:fill="FFFFFF"/>
        </w:rPr>
        <w:t>.</w:t>
      </w:r>
      <w:r w:rsidR="00F8452B" w:rsidRPr="00FC34AD">
        <w:rPr>
          <w:shd w:val="clear" w:color="auto" w:fill="FFFFFF"/>
        </w:rPr>
        <w:t xml:space="preserve"> </w:t>
      </w:r>
      <w:r w:rsidR="001A47AA">
        <w:rPr>
          <w:shd w:val="clear" w:color="auto" w:fill="FFFFFF"/>
        </w:rPr>
        <w:t>T</w:t>
      </w:r>
      <w:r w:rsidR="00F8452B" w:rsidRPr="00FC34AD">
        <w:rPr>
          <w:shd w:val="clear" w:color="auto" w:fill="FFFFFF"/>
        </w:rPr>
        <w:t xml:space="preserve">his trend has continued </w:t>
      </w:r>
      <w:r w:rsidR="001A47AA">
        <w:rPr>
          <w:shd w:val="clear" w:color="auto" w:fill="FFFFFF"/>
        </w:rPr>
        <w:t>during</w:t>
      </w:r>
      <w:r w:rsidR="001A47AA" w:rsidRPr="00FC34AD">
        <w:rPr>
          <w:shd w:val="clear" w:color="auto" w:fill="FFFFFF"/>
        </w:rPr>
        <w:t xml:space="preserve"> </w:t>
      </w:r>
      <w:r w:rsidR="00F8452B" w:rsidRPr="00FC34AD">
        <w:rPr>
          <w:shd w:val="clear" w:color="auto" w:fill="FFFFFF"/>
        </w:rPr>
        <w:t xml:space="preserve">increased lending in 2020 and 2021 </w:t>
      </w:r>
      <w:r w:rsidR="00530FEF">
        <w:rPr>
          <w:shd w:val="clear" w:color="auto" w:fill="FFFFFF"/>
        </w:rPr>
        <w:t>(</w:t>
      </w:r>
      <w:r w:rsidR="00F8452B" w:rsidRPr="00FC34AD">
        <w:rPr>
          <w:shd w:val="clear" w:color="auto" w:fill="FFFFFF"/>
        </w:rPr>
        <w:t>whe</w:t>
      </w:r>
      <w:r w:rsidR="001A47AA">
        <w:rPr>
          <w:shd w:val="clear" w:color="auto" w:fill="FFFFFF"/>
        </w:rPr>
        <w:t>n</w:t>
      </w:r>
      <w:r w:rsidR="00F8452B" w:rsidRPr="00FC34AD">
        <w:rPr>
          <w:shd w:val="clear" w:color="auto" w:fill="FFFFFF"/>
        </w:rPr>
        <w:t xml:space="preserve"> all loans were concessional</w:t>
      </w:r>
      <w:r w:rsidR="00530FEF">
        <w:rPr>
          <w:shd w:val="clear" w:color="auto" w:fill="FFFFFF"/>
        </w:rPr>
        <w:t>)</w:t>
      </w:r>
      <w:r w:rsidR="00F8452B" w:rsidRPr="00F8452B">
        <w:rPr>
          <w:shd w:val="clear" w:color="auto" w:fill="FFFFFF"/>
        </w:rPr>
        <w:t>.</w:t>
      </w:r>
    </w:p>
    <w:p w14:paraId="609CAC25" w14:textId="4405F9C6" w:rsidR="00FC34AD" w:rsidRDefault="001A47AA" w:rsidP="00942B82">
      <w:pPr>
        <w:pStyle w:val="ListParagraph"/>
      </w:pPr>
      <w:r>
        <w:t xml:space="preserve">The </w:t>
      </w:r>
      <w:r w:rsidR="00F8452B">
        <w:t>W</w:t>
      </w:r>
      <w:r w:rsidR="00F8452B" w:rsidRPr="00C52B40">
        <w:t>orld Bank maintains its budget support reform conditions on</w:t>
      </w:r>
      <w:r>
        <w:t xml:space="preserve"> loans linked to the</w:t>
      </w:r>
      <w:r w:rsidR="00F8452B" w:rsidRPr="00C52B40">
        <w:t xml:space="preserve"> Covid-19 crises, </w:t>
      </w:r>
      <w:r w:rsidR="00FC34AD">
        <w:t xml:space="preserve">yet </w:t>
      </w:r>
      <w:r w:rsidR="00F8452B" w:rsidRPr="00C52B40">
        <w:t xml:space="preserve">many of these reforms are focused on the </w:t>
      </w:r>
      <w:r w:rsidR="00543B97" w:rsidRPr="005F1C01">
        <w:rPr>
          <w:lang w:val="en-US"/>
        </w:rPr>
        <w:t>World Bank</w:t>
      </w:r>
      <w:r w:rsidR="00F8452B" w:rsidRPr="00C52B40">
        <w:t>’s long</w:t>
      </w:r>
      <w:r w:rsidR="00543B97">
        <w:t>-</w:t>
      </w:r>
      <w:r w:rsidR="00F8452B" w:rsidRPr="00C52B40">
        <w:t>term reform agenda and not directly relevant to the Covid-19 crisis</w:t>
      </w:r>
      <w:r w:rsidR="00F8452B">
        <w:t xml:space="preserve">. </w:t>
      </w:r>
    </w:p>
    <w:p w14:paraId="2B65197B" w14:textId="7FA0B99D" w:rsidR="00F8452B" w:rsidRDefault="00F8452B" w:rsidP="00942B82">
      <w:pPr>
        <w:pStyle w:val="ListParagraph"/>
      </w:pPr>
      <w:r>
        <w:t xml:space="preserve">The IMF </w:t>
      </w:r>
      <w:r w:rsidR="00FC34AD">
        <w:t>is</w:t>
      </w:r>
      <w:r w:rsidRPr="00C52B40">
        <w:t xml:space="preserve"> routing much of its Covid-</w:t>
      </w:r>
      <w:r w:rsidR="00FC34AD">
        <w:t>related loans</w:t>
      </w:r>
      <w:r w:rsidRPr="00C52B40">
        <w:t xml:space="preserve"> through programmes with little to no conditionality</w:t>
      </w:r>
      <w:r>
        <w:t>.</w:t>
      </w:r>
    </w:p>
    <w:p w14:paraId="13A35F4C" w14:textId="2CB903AB" w:rsidR="00F11181" w:rsidRPr="00A219B7" w:rsidRDefault="00103B13" w:rsidP="00942B82">
      <w:pPr>
        <w:pStyle w:val="ListParagraph"/>
        <w:rPr>
          <w:b/>
          <w:bCs/>
        </w:rPr>
      </w:pPr>
      <w:r>
        <w:rPr>
          <w:shd w:val="clear" w:color="auto" w:fill="FFFFFF"/>
        </w:rPr>
        <w:lastRenderedPageBreak/>
        <w:t>N</w:t>
      </w:r>
      <w:r w:rsidR="00F8452B" w:rsidRPr="0000061A">
        <w:rPr>
          <w:shd w:val="clear" w:color="auto" w:fill="FFFFFF"/>
        </w:rPr>
        <w:t xml:space="preserve">ew IFI loans </w:t>
      </w:r>
      <w:r w:rsidR="00FC34AD" w:rsidRPr="0000061A">
        <w:rPr>
          <w:shd w:val="clear" w:color="auto" w:fill="FFFFFF"/>
        </w:rPr>
        <w:t xml:space="preserve">are adding to Uganda’s debt </w:t>
      </w:r>
      <w:r w:rsidR="003E607A">
        <w:rPr>
          <w:shd w:val="clear" w:color="auto" w:fill="FFFFFF"/>
        </w:rPr>
        <w:t>burden</w:t>
      </w:r>
      <w:r w:rsidR="00FC34AD" w:rsidRPr="0000061A">
        <w:rPr>
          <w:shd w:val="clear" w:color="auto" w:fill="FFFFFF"/>
        </w:rPr>
        <w:t xml:space="preserve">. </w:t>
      </w:r>
      <w:r w:rsidR="00140D0E" w:rsidRPr="0000061A">
        <w:rPr>
          <w:shd w:val="clear" w:color="auto" w:fill="FFFFFF"/>
        </w:rPr>
        <w:t>However</w:t>
      </w:r>
      <w:r w:rsidR="00F8452B" w:rsidRPr="0000061A">
        <w:rPr>
          <w:shd w:val="clear" w:color="auto" w:fill="FFFFFF"/>
        </w:rPr>
        <w:t>, most of Uganda</w:t>
      </w:r>
      <w:r w:rsidR="004F08B7">
        <w:rPr>
          <w:shd w:val="clear" w:color="auto" w:fill="FFFFFF"/>
        </w:rPr>
        <w:t>’</w:t>
      </w:r>
      <w:r w:rsidR="00F8452B" w:rsidRPr="0000061A">
        <w:rPr>
          <w:shd w:val="clear" w:color="auto" w:fill="FFFFFF"/>
        </w:rPr>
        <w:t>s non-concessional loans come from domestic borrowing</w:t>
      </w:r>
      <w:r w:rsidR="00F11181">
        <w:rPr>
          <w:shd w:val="clear" w:color="auto" w:fill="FFFFFF"/>
        </w:rPr>
        <w:t>. R</w:t>
      </w:r>
      <w:r w:rsidR="00F8452B" w:rsidRPr="0000061A">
        <w:rPr>
          <w:shd w:val="clear" w:color="auto" w:fill="FFFFFF"/>
        </w:rPr>
        <w:t xml:space="preserve">ecent growth </w:t>
      </w:r>
      <w:r w:rsidR="00F11181">
        <w:rPr>
          <w:shd w:val="clear" w:color="auto" w:fill="FFFFFF"/>
        </w:rPr>
        <w:t xml:space="preserve">in domestic borrowing </w:t>
      </w:r>
      <w:r w:rsidR="00F8452B" w:rsidRPr="0000061A">
        <w:rPr>
          <w:shd w:val="clear" w:color="auto" w:fill="FFFFFF"/>
        </w:rPr>
        <w:t xml:space="preserve">has contributed much of the increase in public debt. </w:t>
      </w:r>
    </w:p>
    <w:p w14:paraId="56F867C7" w14:textId="734F443E" w:rsidR="0019393B" w:rsidRPr="0019393B" w:rsidRDefault="0019393B" w:rsidP="0019393B">
      <w:pPr>
        <w:pStyle w:val="ListParagraph"/>
        <w:rPr>
          <w:rStyle w:val="Link"/>
          <w:u w:val="none"/>
        </w:rPr>
      </w:pPr>
      <w:r>
        <w:t>In May 2020 t</w:t>
      </w:r>
      <w:r w:rsidRPr="00642070">
        <w:t xml:space="preserve">he IMF and World </w:t>
      </w:r>
      <w:r>
        <w:t>B</w:t>
      </w:r>
      <w:r w:rsidRPr="00642070">
        <w:t>ank maintain</w:t>
      </w:r>
      <w:r>
        <w:t>ed</w:t>
      </w:r>
      <w:r w:rsidRPr="00642070">
        <w:t xml:space="preserve"> that Uganda’s debt </w:t>
      </w:r>
      <w:r>
        <w:t>wa</w:t>
      </w:r>
      <w:r w:rsidRPr="00642070">
        <w:t>s sustainable, with a low risk of external and overall debt distress under the Covid</w:t>
      </w:r>
      <w:r>
        <w:t>-19</w:t>
      </w:r>
      <w:r w:rsidRPr="00642070">
        <w:t xml:space="preserve"> pandemic macro</w:t>
      </w:r>
      <w:r>
        <w:t xml:space="preserve">economic </w:t>
      </w:r>
      <w:r w:rsidRPr="00642070">
        <w:t>framework</w:t>
      </w:r>
      <w:r>
        <w:t>.</w:t>
      </w:r>
      <w:r w:rsidRPr="00642070">
        <w:rPr>
          <w:rStyle w:val="EndnoteReference"/>
        </w:rPr>
        <w:endnoteReference w:id="3"/>
      </w:r>
      <w:r w:rsidRPr="00642070">
        <w:t xml:space="preserve"> </w:t>
      </w:r>
      <w:r>
        <w:t xml:space="preserve">However, there are growing concerns among </w:t>
      </w:r>
      <w:r w:rsidRPr="00C52B40">
        <w:t>local actors over high debt levels</w:t>
      </w:r>
      <w:r>
        <w:t xml:space="preserve"> and in June 2021 the IMF warned that Uganda’s high debt burden had caused multiple indicators to breach their indicative thresholds under stress tests.</w:t>
      </w:r>
      <w:r>
        <w:rPr>
          <w:rStyle w:val="EndnoteReference"/>
        </w:rPr>
        <w:endnoteReference w:id="4"/>
      </w:r>
    </w:p>
    <w:p w14:paraId="6440D7D8" w14:textId="735C10FE" w:rsidR="00402750" w:rsidRDefault="00E45363" w:rsidP="00D3550B">
      <w:pPr>
        <w:pStyle w:val="Heading1"/>
        <w:rPr>
          <w:lang w:val="en-US"/>
        </w:rPr>
      </w:pPr>
      <w:bookmarkStart w:id="6" w:name="_Toc91097886"/>
      <w:r>
        <w:rPr>
          <w:lang w:val="en-US"/>
        </w:rPr>
        <w:lastRenderedPageBreak/>
        <w:t>T</w:t>
      </w:r>
      <w:r w:rsidR="00402750">
        <w:rPr>
          <w:lang w:val="en-US"/>
        </w:rPr>
        <w:t xml:space="preserve">rends in financing from major </w:t>
      </w:r>
      <w:r>
        <w:rPr>
          <w:lang w:val="en-US"/>
        </w:rPr>
        <w:t>international financ</w:t>
      </w:r>
      <w:r w:rsidR="00B821D3">
        <w:rPr>
          <w:lang w:val="en-US"/>
        </w:rPr>
        <w:t>ial</w:t>
      </w:r>
      <w:r>
        <w:rPr>
          <w:lang w:val="en-US"/>
        </w:rPr>
        <w:t xml:space="preserve"> institution</w:t>
      </w:r>
      <w:r w:rsidR="00402750">
        <w:rPr>
          <w:lang w:val="en-US"/>
        </w:rPr>
        <w:t xml:space="preserve"> donors</w:t>
      </w:r>
      <w:bookmarkEnd w:id="6"/>
    </w:p>
    <w:p w14:paraId="03BC85AB" w14:textId="4C62ACEF" w:rsidR="00A71090" w:rsidRPr="00A71090" w:rsidRDefault="00A71090" w:rsidP="00A71090">
      <w:pPr>
        <w:rPr>
          <w:lang w:val="en-US"/>
        </w:rPr>
      </w:pPr>
      <w:bookmarkStart w:id="7" w:name="_Hlk89764872"/>
      <w:r>
        <w:rPr>
          <w:lang w:val="en-US"/>
        </w:rPr>
        <w:t xml:space="preserve">The government of Uganda borrowed </w:t>
      </w:r>
      <w:r w:rsidR="00FE1247">
        <w:rPr>
          <w:lang w:val="en-US"/>
        </w:rPr>
        <w:t xml:space="preserve">a significantly higher amount </w:t>
      </w:r>
      <w:r w:rsidR="008C3C6E">
        <w:rPr>
          <w:lang w:val="en-US"/>
        </w:rPr>
        <w:t>in</w:t>
      </w:r>
      <w:r w:rsidR="00FE1247">
        <w:rPr>
          <w:lang w:val="en-US"/>
        </w:rPr>
        <w:t xml:space="preserve"> loans in 2020 compared to 2019 and 2018</w:t>
      </w:r>
      <w:r w:rsidR="008C3C6E">
        <w:rPr>
          <w:lang w:val="en-US"/>
        </w:rPr>
        <w:t>.</w:t>
      </w:r>
      <w:r w:rsidR="00FE1247">
        <w:rPr>
          <w:lang w:val="en-US"/>
        </w:rPr>
        <w:t xml:space="preserve"> </w:t>
      </w:r>
      <w:r w:rsidR="008C3C6E">
        <w:rPr>
          <w:lang w:val="en-US"/>
        </w:rPr>
        <w:t xml:space="preserve">Total </w:t>
      </w:r>
      <w:r w:rsidR="00FE1247">
        <w:rPr>
          <w:lang w:val="en-US"/>
        </w:rPr>
        <w:t xml:space="preserve">loans in 2020 </w:t>
      </w:r>
      <w:r w:rsidR="00E96770">
        <w:rPr>
          <w:lang w:val="en-US"/>
        </w:rPr>
        <w:t>were</w:t>
      </w:r>
      <w:r w:rsidR="00FE1247">
        <w:rPr>
          <w:lang w:val="en-US"/>
        </w:rPr>
        <w:t xml:space="preserve"> over </w:t>
      </w:r>
      <w:r w:rsidR="008C3C6E">
        <w:rPr>
          <w:lang w:val="en-US"/>
        </w:rPr>
        <w:t>three</w:t>
      </w:r>
      <w:r w:rsidR="00FE1247">
        <w:rPr>
          <w:lang w:val="en-US"/>
        </w:rPr>
        <w:t xml:space="preserve"> times the average for 2019 and 2018</w:t>
      </w:r>
      <w:bookmarkEnd w:id="7"/>
      <w:r w:rsidR="00DD174B">
        <w:rPr>
          <w:lang w:val="en-US"/>
        </w:rPr>
        <w:t>.</w:t>
      </w:r>
    </w:p>
    <w:p w14:paraId="7959FF8A" w14:textId="4A8576EB" w:rsidR="00E45363" w:rsidRDefault="00E45363" w:rsidP="00F43F42">
      <w:pPr>
        <w:pStyle w:val="FigureTitle"/>
      </w:pPr>
      <w:bookmarkStart w:id="8" w:name="Fig1"/>
      <w:r>
        <w:t xml:space="preserve">Figure </w:t>
      </w:r>
      <w:fldSimple w:instr=" SEQ Figure \* ARABIC ">
        <w:r w:rsidR="0083474F">
          <w:rPr>
            <w:noProof/>
          </w:rPr>
          <w:t>1</w:t>
        </w:r>
      </w:fldSimple>
      <w:r>
        <w:t xml:space="preserve">: Total loans </w:t>
      </w:r>
      <w:r w:rsidR="00B75B75">
        <w:t xml:space="preserve">disbursed </w:t>
      </w:r>
      <w:r>
        <w:t xml:space="preserve">from </w:t>
      </w:r>
      <w:r w:rsidR="00C40C59">
        <w:t xml:space="preserve">three key </w:t>
      </w:r>
      <w:r w:rsidR="00D66241">
        <w:t>international financ</w:t>
      </w:r>
      <w:r w:rsidR="00B821D3">
        <w:t>ial</w:t>
      </w:r>
      <w:r w:rsidR="00D66241">
        <w:t xml:space="preserve"> institution</w:t>
      </w:r>
      <w:r>
        <w:t xml:space="preserve">s, </w:t>
      </w:r>
      <w:r w:rsidR="00D84F98">
        <w:t xml:space="preserve">January </w:t>
      </w:r>
      <w:r>
        <w:t>2018</w:t>
      </w:r>
      <w:r w:rsidR="00D84F98">
        <w:t xml:space="preserve"> to June </w:t>
      </w:r>
      <w:r>
        <w:t>2021</w:t>
      </w:r>
    </w:p>
    <w:bookmarkEnd w:id="8"/>
    <w:p w14:paraId="31CE1079" w14:textId="3CA64963" w:rsidR="00F43F42" w:rsidRDefault="00BE0328" w:rsidP="00E45363">
      <w:pPr>
        <w:keepNext/>
      </w:pPr>
      <w:r w:rsidRPr="00BE0328">
        <w:rPr>
          <w:noProof/>
        </w:rPr>
        <w:t xml:space="preserve"> </w:t>
      </w:r>
      <w:r>
        <w:rPr>
          <w:noProof/>
        </w:rPr>
        <w:drawing>
          <wp:inline distT="0" distB="0" distL="0" distR="0" wp14:anchorId="33FF36D3" wp14:editId="69BE9509">
            <wp:extent cx="5036185" cy="2260600"/>
            <wp:effectExtent l="0" t="0" r="0" b="6350"/>
            <wp:docPr id="10" name="Chart 10" descr="Figure 1: A column chart showing total volume of loans disbursed to Uganda by the African Development Bank, World Bank and International Monetary Fund from January 2018 to June 2021 (US$, million). Full data is available from Development Initiatives' datasets page.">
              <a:extLst xmlns:a="http://schemas.openxmlformats.org/drawingml/2006/main">
                <a:ext uri="{FF2B5EF4-FFF2-40B4-BE49-F238E27FC236}">
                  <a16:creationId xmlns:a16="http://schemas.microsoft.com/office/drawing/2014/main" id="{11D0BC49-8EC8-4F54-B02C-E734F9BD6C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AD51F0" w14:textId="5DF29E44" w:rsidR="00E45363" w:rsidRDefault="00E45363" w:rsidP="00E45363">
      <w:pPr>
        <w:pStyle w:val="Source"/>
        <w:rPr>
          <w:lang w:val="en-US"/>
        </w:rPr>
      </w:pPr>
      <w:r w:rsidRPr="00C81A98">
        <w:t>Source:</w:t>
      </w:r>
      <w:r w:rsidRPr="00C81A98">
        <w:rPr>
          <w:lang w:val="en-US"/>
        </w:rPr>
        <w:t xml:space="preserve"> Development Initiatives based on IATI and project documents from </w:t>
      </w:r>
      <w:r w:rsidR="00A37676">
        <w:rPr>
          <w:lang w:val="en-US"/>
        </w:rPr>
        <w:t>IFI</w:t>
      </w:r>
      <w:r w:rsidRPr="00C81A98">
        <w:rPr>
          <w:lang w:val="en-US"/>
        </w:rPr>
        <w:t xml:space="preserve"> lenders</w:t>
      </w:r>
      <w:r>
        <w:rPr>
          <w:lang w:val="en-US"/>
        </w:rPr>
        <w:t>.</w:t>
      </w:r>
    </w:p>
    <w:p w14:paraId="34F85186" w14:textId="5ED156CE" w:rsidR="00E44507" w:rsidRPr="00C81A98" w:rsidRDefault="00E45363" w:rsidP="00E45363">
      <w:pPr>
        <w:pStyle w:val="Source"/>
        <w:rPr>
          <w:lang w:val="en-US"/>
        </w:rPr>
      </w:pPr>
      <w:r w:rsidRPr="0055490D">
        <w:rPr>
          <w:rFonts w:cstheme="minorHAnsi"/>
          <w:lang w:val="en-US"/>
        </w:rPr>
        <w:t>Note</w:t>
      </w:r>
      <w:r w:rsidR="00D84F98">
        <w:rPr>
          <w:rFonts w:cstheme="minorHAnsi"/>
          <w:lang w:val="en-US"/>
        </w:rPr>
        <w:t>s</w:t>
      </w:r>
      <w:r w:rsidRPr="0055490D">
        <w:rPr>
          <w:rFonts w:cstheme="minorHAnsi"/>
          <w:lang w:val="en-US"/>
        </w:rPr>
        <w:t>: Data for 2021</w:t>
      </w:r>
      <w:r w:rsidRPr="0055490D">
        <w:rPr>
          <w:lang w:val="en-US"/>
        </w:rPr>
        <w:t xml:space="preserve"> does not include all the loans that will be advanced this year</w:t>
      </w:r>
      <w:r w:rsidR="00D84F98">
        <w:rPr>
          <w:lang w:val="en-US"/>
        </w:rPr>
        <w:t>:</w:t>
      </w:r>
      <w:r>
        <w:rPr>
          <w:lang w:val="en-US"/>
        </w:rPr>
        <w:t xml:space="preserve"> </w:t>
      </w:r>
      <w:r w:rsidR="00D84F98">
        <w:rPr>
          <w:lang w:val="en-US"/>
        </w:rPr>
        <w:t>only l</w:t>
      </w:r>
      <w:r w:rsidRPr="0055490D">
        <w:rPr>
          <w:lang w:val="en-US"/>
        </w:rPr>
        <w:t xml:space="preserve">oans </w:t>
      </w:r>
      <w:r w:rsidR="00D84F98">
        <w:rPr>
          <w:lang w:val="en-US"/>
        </w:rPr>
        <w:t>made up to and including</w:t>
      </w:r>
      <w:bookmarkStart w:id="9" w:name="_GoBack"/>
      <w:bookmarkEnd w:id="9"/>
      <w:r w:rsidRPr="0055490D">
        <w:rPr>
          <w:lang w:val="en-US"/>
        </w:rPr>
        <w:t xml:space="preserve"> </w:t>
      </w:r>
      <w:r w:rsidR="00B75B75">
        <w:rPr>
          <w:lang w:val="en-US"/>
        </w:rPr>
        <w:t>June</w:t>
      </w:r>
      <w:r w:rsidRPr="0055490D">
        <w:rPr>
          <w:lang w:val="en-US"/>
        </w:rPr>
        <w:t xml:space="preserve"> 2021</w:t>
      </w:r>
      <w:r w:rsidR="00D84F98">
        <w:rPr>
          <w:lang w:val="en-US"/>
        </w:rPr>
        <w:t xml:space="preserve"> were counted</w:t>
      </w:r>
      <w:r>
        <w:rPr>
          <w:lang w:val="en-US"/>
        </w:rPr>
        <w:t>.</w:t>
      </w:r>
      <w:r w:rsidR="0009589F">
        <w:rPr>
          <w:lang w:val="en-US"/>
        </w:rPr>
        <w:t xml:space="preserve"> </w:t>
      </w:r>
    </w:p>
    <w:p w14:paraId="4CF82912" w14:textId="096A0FA2" w:rsidR="00337184" w:rsidRDefault="00C10A84" w:rsidP="00402750">
      <w:pPr>
        <w:rPr>
          <w:lang w:val="en-US"/>
        </w:rPr>
      </w:pPr>
      <w:r>
        <w:rPr>
          <w:lang w:val="en-US"/>
        </w:rPr>
        <w:t xml:space="preserve">Between January 2018 </w:t>
      </w:r>
      <w:r w:rsidR="00E96770">
        <w:rPr>
          <w:lang w:val="en-US"/>
        </w:rPr>
        <w:t>and</w:t>
      </w:r>
      <w:r>
        <w:rPr>
          <w:lang w:val="en-US"/>
        </w:rPr>
        <w:t xml:space="preserve"> June 2021</w:t>
      </w:r>
      <w:r w:rsidR="006E0E53" w:rsidRPr="00585B33">
        <w:rPr>
          <w:lang w:val="en-US"/>
        </w:rPr>
        <w:t>,</w:t>
      </w:r>
      <w:r w:rsidR="00402750" w:rsidRPr="00585B33">
        <w:rPr>
          <w:lang w:val="en-US"/>
        </w:rPr>
        <w:t xml:space="preserve"> </w:t>
      </w:r>
      <w:bookmarkStart w:id="10" w:name="_Hlk89764927"/>
      <w:r w:rsidR="00402750" w:rsidRPr="00585B33">
        <w:rPr>
          <w:lang w:val="en-US"/>
        </w:rPr>
        <w:t xml:space="preserve">the </w:t>
      </w:r>
      <w:r w:rsidR="00DD174B" w:rsidRPr="00585B33">
        <w:rPr>
          <w:lang w:val="en-US"/>
        </w:rPr>
        <w:t>World Bank dis</w:t>
      </w:r>
      <w:r w:rsidR="00DD174B">
        <w:rPr>
          <w:lang w:val="en-US"/>
        </w:rPr>
        <w:t xml:space="preserve">bursed the largest </w:t>
      </w:r>
      <w:r w:rsidR="000E5A88">
        <w:rPr>
          <w:lang w:val="en-US"/>
        </w:rPr>
        <w:t xml:space="preserve">volume of </w:t>
      </w:r>
      <w:r w:rsidR="00DD174B">
        <w:rPr>
          <w:lang w:val="en-US"/>
        </w:rPr>
        <w:t>loan</w:t>
      </w:r>
      <w:r w:rsidR="000E5A88">
        <w:rPr>
          <w:lang w:val="en-US"/>
        </w:rPr>
        <w:t xml:space="preserve">s, amounting to </w:t>
      </w:r>
      <w:r w:rsidR="00DD174B">
        <w:rPr>
          <w:lang w:val="en-US"/>
        </w:rPr>
        <w:t>US$</w:t>
      </w:r>
      <w:r w:rsidR="0007088A">
        <w:rPr>
          <w:lang w:val="en-US"/>
        </w:rPr>
        <w:t>1,36</w:t>
      </w:r>
      <w:r w:rsidR="00417561">
        <w:rPr>
          <w:lang w:val="en-US"/>
        </w:rPr>
        <w:t>2.6</w:t>
      </w:r>
      <w:r w:rsidR="0007088A">
        <w:rPr>
          <w:lang w:val="en-US"/>
        </w:rPr>
        <w:t xml:space="preserve"> million</w:t>
      </w:r>
      <w:r w:rsidR="00DD174B">
        <w:rPr>
          <w:lang w:val="en-US"/>
        </w:rPr>
        <w:t xml:space="preserve"> (55%</w:t>
      </w:r>
      <w:r>
        <w:rPr>
          <w:lang w:val="en-US"/>
        </w:rPr>
        <w:t xml:space="preserve"> of the total</w:t>
      </w:r>
      <w:r w:rsidR="00DD174B">
        <w:rPr>
          <w:lang w:val="en-US"/>
        </w:rPr>
        <w:t>)</w:t>
      </w:r>
      <w:r w:rsidR="000E5A88">
        <w:rPr>
          <w:lang w:val="en-US"/>
        </w:rPr>
        <w:t>,</w:t>
      </w:r>
      <w:r w:rsidR="00DD174B">
        <w:rPr>
          <w:lang w:val="en-US"/>
        </w:rPr>
        <w:t xml:space="preserve"> followed by the </w:t>
      </w:r>
      <w:r w:rsidR="00402750">
        <w:rPr>
          <w:lang w:val="en-US"/>
        </w:rPr>
        <w:t>IMF</w:t>
      </w:r>
      <w:r>
        <w:rPr>
          <w:lang w:val="en-US"/>
        </w:rPr>
        <w:t>’s</w:t>
      </w:r>
      <w:r w:rsidR="00402750">
        <w:rPr>
          <w:lang w:val="en-US"/>
        </w:rPr>
        <w:t xml:space="preserve"> </w:t>
      </w:r>
      <w:r w:rsidR="0007088A">
        <w:rPr>
          <w:lang w:val="en-US"/>
        </w:rPr>
        <w:t>US$7</w:t>
      </w:r>
      <w:r w:rsidR="00AA7CD0">
        <w:rPr>
          <w:lang w:val="en-US"/>
        </w:rPr>
        <w:t>50</w:t>
      </w:r>
      <w:r w:rsidR="0007088A">
        <w:rPr>
          <w:lang w:val="en-US"/>
        </w:rPr>
        <w:t xml:space="preserve"> million (30%</w:t>
      </w:r>
      <w:r>
        <w:rPr>
          <w:lang w:val="en-US"/>
        </w:rPr>
        <w:t xml:space="preserve"> of the total</w:t>
      </w:r>
      <w:r w:rsidR="0007088A">
        <w:rPr>
          <w:lang w:val="en-US"/>
        </w:rPr>
        <w:t>) while the AfDB disbursed US$361</w:t>
      </w:r>
      <w:r w:rsidR="00417561">
        <w:rPr>
          <w:lang w:val="en-US"/>
        </w:rPr>
        <w:t>.1</w:t>
      </w:r>
      <w:r w:rsidR="0007088A">
        <w:rPr>
          <w:lang w:val="en-US"/>
        </w:rPr>
        <w:t xml:space="preserve"> million </w:t>
      </w:r>
      <w:r w:rsidR="000E5A88">
        <w:rPr>
          <w:lang w:val="en-US"/>
        </w:rPr>
        <w:t>(</w:t>
      </w:r>
      <w:r w:rsidR="0007088A">
        <w:rPr>
          <w:lang w:val="en-US"/>
        </w:rPr>
        <w:t xml:space="preserve">15% of </w:t>
      </w:r>
      <w:r w:rsidR="000E5A88">
        <w:rPr>
          <w:lang w:val="en-US"/>
        </w:rPr>
        <w:t xml:space="preserve">the </w:t>
      </w:r>
      <w:r w:rsidR="0007088A">
        <w:rPr>
          <w:lang w:val="en-US"/>
        </w:rPr>
        <w:t>total</w:t>
      </w:r>
      <w:r w:rsidR="000E5A88">
        <w:rPr>
          <w:lang w:val="en-US"/>
        </w:rPr>
        <w:t>)</w:t>
      </w:r>
      <w:bookmarkEnd w:id="10"/>
      <w:r w:rsidR="00AA0CDF">
        <w:rPr>
          <w:lang w:val="en-US"/>
        </w:rPr>
        <w:t>.</w:t>
      </w:r>
      <w:r w:rsidR="00337184" w:rsidRPr="00337184">
        <w:rPr>
          <w:lang w:val="en-US"/>
        </w:rPr>
        <w:t xml:space="preserve"> </w:t>
      </w:r>
    </w:p>
    <w:p w14:paraId="26A56538" w14:textId="30F6DC31" w:rsidR="00402750" w:rsidRPr="00A56945" w:rsidRDefault="00337184" w:rsidP="00402750">
      <w:pPr>
        <w:rPr>
          <w:lang w:val="en-US"/>
        </w:rPr>
      </w:pPr>
      <w:r>
        <w:rPr>
          <w:lang w:val="en-US"/>
        </w:rPr>
        <w:t>In 2021, by the end of June, a total of US$399</w:t>
      </w:r>
      <w:r w:rsidR="00417561">
        <w:rPr>
          <w:lang w:val="en-US"/>
        </w:rPr>
        <w:t>.4</w:t>
      </w:r>
      <w:r>
        <w:rPr>
          <w:lang w:val="en-US"/>
        </w:rPr>
        <w:t xml:space="preserve"> million in loans had been disbursed by the three key IFIs, of which US$258 million was from the IMF’s US$1 billion </w:t>
      </w:r>
      <w:r w:rsidR="000E5A88">
        <w:rPr>
          <w:lang w:val="en-US"/>
        </w:rPr>
        <w:t>E</w:t>
      </w:r>
      <w:r>
        <w:rPr>
          <w:lang w:val="en-US"/>
        </w:rPr>
        <w:t xml:space="preserve">xtended </w:t>
      </w:r>
      <w:r w:rsidR="000E5A88">
        <w:rPr>
          <w:lang w:val="en-US"/>
        </w:rPr>
        <w:t>C</w:t>
      </w:r>
      <w:r>
        <w:rPr>
          <w:lang w:val="en-US"/>
        </w:rPr>
        <w:t xml:space="preserve">redit </w:t>
      </w:r>
      <w:r w:rsidR="000E5A88">
        <w:rPr>
          <w:lang w:val="en-US"/>
        </w:rPr>
        <w:t>F</w:t>
      </w:r>
      <w:r>
        <w:rPr>
          <w:lang w:val="en-US"/>
        </w:rPr>
        <w:t xml:space="preserve">acility to </w:t>
      </w:r>
      <w:r w:rsidRPr="00585B33">
        <w:rPr>
          <w:lang w:val="en-US"/>
        </w:rPr>
        <w:t xml:space="preserve">Uganda </w:t>
      </w:r>
      <w:r>
        <w:rPr>
          <w:lang w:val="en-US"/>
        </w:rPr>
        <w:t>(</w:t>
      </w:r>
      <w:r w:rsidRPr="00756B83">
        <w:rPr>
          <w:lang w:val="en-US"/>
        </w:rPr>
        <w:t>June 2021 to 2024</w:t>
      </w:r>
      <w:r>
        <w:rPr>
          <w:lang w:val="en-US"/>
        </w:rPr>
        <w:t>)</w:t>
      </w:r>
      <w:r w:rsidRPr="00585B33">
        <w:rPr>
          <w:lang w:val="en-US"/>
        </w:rPr>
        <w:t>.</w:t>
      </w:r>
    </w:p>
    <w:p w14:paraId="0A6577F5" w14:textId="0DD6FAE5" w:rsidR="00D66241" w:rsidRDefault="00D66241">
      <w:pPr>
        <w:spacing w:before="0" w:line="240" w:lineRule="auto"/>
        <w:rPr>
          <w:b/>
          <w:color w:val="C3105A" w:themeColor="text2"/>
          <w:szCs w:val="20"/>
          <w:lang w:val="en-US"/>
        </w:rPr>
      </w:pPr>
    </w:p>
    <w:p w14:paraId="3228D077" w14:textId="2AF8E23B" w:rsidR="00402750" w:rsidRDefault="00402750" w:rsidP="00402750">
      <w:pPr>
        <w:pStyle w:val="FigureTitle"/>
        <w:rPr>
          <w:lang w:val="en-US"/>
        </w:rPr>
      </w:pPr>
      <w:r w:rsidRPr="007F5B83">
        <w:rPr>
          <w:lang w:val="en-US"/>
        </w:rPr>
        <w:lastRenderedPageBreak/>
        <w:t xml:space="preserve">Figure </w:t>
      </w:r>
      <w:r>
        <w:rPr>
          <w:lang w:val="en-US"/>
        </w:rPr>
        <w:t>2</w:t>
      </w:r>
      <w:r w:rsidRPr="007F5B83">
        <w:rPr>
          <w:lang w:val="en-US"/>
        </w:rPr>
        <w:t xml:space="preserve">: Loans </w:t>
      </w:r>
      <w:r w:rsidR="0007088A">
        <w:rPr>
          <w:lang w:val="en-US"/>
        </w:rPr>
        <w:t xml:space="preserve">disbursed </w:t>
      </w:r>
      <w:r w:rsidRPr="007F5B83">
        <w:rPr>
          <w:lang w:val="en-US"/>
        </w:rPr>
        <w:t xml:space="preserve">from </w:t>
      </w:r>
      <w:r w:rsidR="00C10A84">
        <w:rPr>
          <w:lang w:val="en-US"/>
        </w:rPr>
        <w:t xml:space="preserve">three key </w:t>
      </w:r>
      <w:r w:rsidR="00D66241">
        <w:rPr>
          <w:lang w:val="en-US"/>
        </w:rPr>
        <w:t>international financ</w:t>
      </w:r>
      <w:r w:rsidR="00656491">
        <w:rPr>
          <w:lang w:val="en-US"/>
        </w:rPr>
        <w:t>ial</w:t>
      </w:r>
      <w:r w:rsidR="00D66241">
        <w:rPr>
          <w:lang w:val="en-US"/>
        </w:rPr>
        <w:t xml:space="preserve"> institutions</w:t>
      </w:r>
      <w:r>
        <w:rPr>
          <w:lang w:val="en-US"/>
        </w:rPr>
        <w:t xml:space="preserve"> by lender, </w:t>
      </w:r>
      <w:r w:rsidR="00C10A84">
        <w:rPr>
          <w:lang w:val="en-US"/>
        </w:rPr>
        <w:t xml:space="preserve">January </w:t>
      </w:r>
      <w:r>
        <w:rPr>
          <w:lang w:val="en-US"/>
        </w:rPr>
        <w:t>2018</w:t>
      </w:r>
      <w:r w:rsidR="00C10A84">
        <w:rPr>
          <w:rFonts w:cstheme="minorHAnsi"/>
          <w:lang w:val="en-US"/>
        </w:rPr>
        <w:t xml:space="preserve"> to June </w:t>
      </w:r>
      <w:r>
        <w:rPr>
          <w:lang w:val="en-US"/>
        </w:rPr>
        <w:t>2021</w:t>
      </w:r>
      <w:bookmarkStart w:id="11" w:name="Fig2"/>
      <w:bookmarkEnd w:id="11"/>
    </w:p>
    <w:p w14:paraId="71906274" w14:textId="7E16E78B" w:rsidR="00814C63" w:rsidRPr="00C503D2" w:rsidRDefault="00B75B75" w:rsidP="00402750">
      <w:pPr>
        <w:rPr>
          <w:lang w:val="en-US"/>
        </w:rPr>
      </w:pPr>
      <w:r>
        <w:rPr>
          <w:noProof/>
        </w:rPr>
        <w:drawing>
          <wp:inline distT="0" distB="0" distL="0" distR="0" wp14:anchorId="4FBDC983" wp14:editId="51455D56">
            <wp:extent cx="5036185" cy="3494314"/>
            <wp:effectExtent l="0" t="0" r="0" b="0"/>
            <wp:docPr id="4" name="Chart 4" descr="Figure 2: A bar chart showing amount of loans disbursed to Uganda by the African Development Bank, World Bank and IMF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86F47D92-6E62-41B6-B3AB-CB2B74FCF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D9749B" w14:textId="0EB847B1" w:rsidR="00402750" w:rsidRDefault="00402750" w:rsidP="00402750">
      <w:pPr>
        <w:pStyle w:val="Source"/>
        <w:rPr>
          <w:lang w:val="en-US"/>
        </w:rPr>
      </w:pPr>
      <w:bookmarkStart w:id="12" w:name="_Hlk77077965"/>
      <w:r>
        <w:rPr>
          <w:lang w:val="en-US"/>
        </w:rPr>
        <w:t xml:space="preserve">Source: Development Initiatives based on IATI and project documents from </w:t>
      </w:r>
      <w:r w:rsidR="00D66241">
        <w:rPr>
          <w:lang w:val="en-US"/>
        </w:rPr>
        <w:t>international financ</w:t>
      </w:r>
      <w:r w:rsidR="00B821D3">
        <w:rPr>
          <w:lang w:val="en-US"/>
        </w:rPr>
        <w:t>ial</w:t>
      </w:r>
      <w:r w:rsidR="00D66241">
        <w:rPr>
          <w:lang w:val="en-US"/>
        </w:rPr>
        <w:t xml:space="preserve"> institution</w:t>
      </w:r>
      <w:r>
        <w:rPr>
          <w:lang w:val="en-US"/>
        </w:rPr>
        <w:t xml:space="preserve"> lenders</w:t>
      </w:r>
      <w:r w:rsidR="00D66241">
        <w:rPr>
          <w:lang w:val="en-US"/>
        </w:rPr>
        <w:t>.</w:t>
      </w:r>
    </w:p>
    <w:p w14:paraId="0E2BDFC6" w14:textId="632E21FD" w:rsidR="00FA7DB9" w:rsidRPr="0055490D" w:rsidRDefault="00402750" w:rsidP="00402750">
      <w:pPr>
        <w:pStyle w:val="Source"/>
        <w:rPr>
          <w:lang w:val="en-US"/>
        </w:rPr>
      </w:pPr>
      <w:bookmarkStart w:id="13" w:name="_Hlk77078087"/>
      <w:bookmarkEnd w:id="12"/>
      <w:r w:rsidRPr="0055490D">
        <w:rPr>
          <w:rFonts w:cstheme="minorHAnsi"/>
          <w:lang w:val="en-US"/>
        </w:rPr>
        <w:t>Note</w:t>
      </w:r>
      <w:r w:rsidR="008C3C6E">
        <w:rPr>
          <w:rFonts w:cstheme="minorHAnsi"/>
          <w:lang w:val="en-US"/>
        </w:rPr>
        <w:t>s</w:t>
      </w:r>
      <w:r w:rsidRPr="0055490D">
        <w:rPr>
          <w:rFonts w:cstheme="minorHAnsi"/>
          <w:lang w:val="en-US"/>
        </w:rPr>
        <w:t xml:space="preserve">: </w:t>
      </w:r>
      <w:r w:rsidR="003C1218" w:rsidRPr="0055490D">
        <w:rPr>
          <w:rFonts w:cstheme="minorHAnsi"/>
          <w:lang w:val="en-US"/>
        </w:rPr>
        <w:t>Data for 2021</w:t>
      </w:r>
      <w:r w:rsidR="003C1218" w:rsidRPr="0055490D">
        <w:rPr>
          <w:lang w:val="en-US"/>
        </w:rPr>
        <w:t xml:space="preserve"> does not include all the loans that will be advanced this year</w:t>
      </w:r>
      <w:r w:rsidR="003C1218">
        <w:rPr>
          <w:lang w:val="en-US"/>
        </w:rPr>
        <w:t>: only l</w:t>
      </w:r>
      <w:r w:rsidR="003C1218" w:rsidRPr="0055490D">
        <w:rPr>
          <w:lang w:val="en-US"/>
        </w:rPr>
        <w:t xml:space="preserve">oans </w:t>
      </w:r>
      <w:r w:rsidR="003C1218">
        <w:rPr>
          <w:lang w:val="en-US"/>
        </w:rPr>
        <w:t>made up to and including</w:t>
      </w:r>
      <w:r w:rsidR="003C1218" w:rsidRPr="0055490D">
        <w:rPr>
          <w:lang w:val="en-US"/>
        </w:rPr>
        <w:t xml:space="preserve"> </w:t>
      </w:r>
      <w:r w:rsidR="003C1218">
        <w:rPr>
          <w:lang w:val="en-US"/>
        </w:rPr>
        <w:t>June</w:t>
      </w:r>
      <w:r w:rsidR="003C1218" w:rsidRPr="0055490D">
        <w:rPr>
          <w:lang w:val="en-US"/>
        </w:rPr>
        <w:t xml:space="preserve"> 2021</w:t>
      </w:r>
      <w:r w:rsidR="003C1218">
        <w:rPr>
          <w:lang w:val="en-US"/>
        </w:rPr>
        <w:t xml:space="preserve"> were counted. </w:t>
      </w:r>
      <w:r w:rsidR="005E2C61">
        <w:rPr>
          <w:lang w:val="en-US"/>
        </w:rPr>
        <w:t>No IMF data available for 2018 and 2019; no AfDB data available for 2021.</w:t>
      </w:r>
      <w:r w:rsidR="00FA7DB9">
        <w:rPr>
          <w:lang w:val="en-US"/>
        </w:rPr>
        <w:t xml:space="preserve"> </w:t>
      </w:r>
    </w:p>
    <w:bookmarkEnd w:id="13"/>
    <w:p w14:paraId="0613CFF3" w14:textId="77777777" w:rsidR="00FF4061" w:rsidRDefault="00FF4061">
      <w:pPr>
        <w:spacing w:before="0" w:line="240" w:lineRule="auto"/>
        <w:rPr>
          <w:lang w:val="en-US"/>
        </w:rPr>
      </w:pPr>
    </w:p>
    <w:p w14:paraId="592DF922" w14:textId="77777777" w:rsidR="00595748" w:rsidRDefault="00595748">
      <w:pPr>
        <w:spacing w:before="0" w:line="240" w:lineRule="auto"/>
        <w:rPr>
          <w:rFonts w:asciiTheme="majorHAnsi" w:eastAsiaTheme="majorEastAsia" w:hAnsiTheme="majorHAnsi" w:cstheme="majorBidi"/>
          <w:b/>
          <w:bCs/>
          <w:color w:val="C3105A" w:themeColor="text2"/>
          <w:sz w:val="26"/>
          <w:szCs w:val="26"/>
          <w:lang w:val="en-US"/>
        </w:rPr>
      </w:pPr>
      <w:r>
        <w:rPr>
          <w:lang w:val="en-US"/>
        </w:rPr>
        <w:br w:type="page"/>
      </w:r>
    </w:p>
    <w:p w14:paraId="78024ADC" w14:textId="1F7BB806" w:rsidR="00FF4061" w:rsidRDefault="0015034D" w:rsidP="00863043">
      <w:pPr>
        <w:pStyle w:val="Heading1"/>
        <w:rPr>
          <w:lang w:val="en-US"/>
        </w:rPr>
      </w:pPr>
      <w:bookmarkStart w:id="14" w:name="_Toc91097887"/>
      <w:r>
        <w:rPr>
          <w:lang w:val="en-US"/>
        </w:rPr>
        <w:lastRenderedPageBreak/>
        <w:t>L</w:t>
      </w:r>
      <w:r w:rsidR="00FF4061">
        <w:rPr>
          <w:lang w:val="en-US"/>
        </w:rPr>
        <w:t>ending terms</w:t>
      </w:r>
      <w:bookmarkEnd w:id="14"/>
    </w:p>
    <w:p w14:paraId="083E2569" w14:textId="662B98E9" w:rsidR="00136639" w:rsidRDefault="00136639" w:rsidP="00136639">
      <w:pPr>
        <w:rPr>
          <w:shd w:val="clear" w:color="auto" w:fill="FFFFFF"/>
        </w:rPr>
      </w:pPr>
      <w:r w:rsidRPr="00CE0C68">
        <w:rPr>
          <w:shd w:val="clear" w:color="auto" w:fill="FFFFFF"/>
        </w:rPr>
        <w:t>Normally, IFI leading terms to countries are determined on the basis of several factors</w:t>
      </w:r>
      <w:r>
        <w:rPr>
          <w:shd w:val="clear" w:color="auto" w:fill="FFFFFF"/>
        </w:rPr>
        <w:t>,</w:t>
      </w:r>
      <w:r w:rsidRPr="00CE0C68">
        <w:rPr>
          <w:shd w:val="clear" w:color="auto" w:fill="FFFFFF"/>
        </w:rPr>
        <w:t xml:space="preserve"> including the borrowing country’s risk</w:t>
      </w:r>
      <w:r w:rsidR="000E5A88">
        <w:rPr>
          <w:shd w:val="clear" w:color="auto" w:fill="FFFFFF"/>
        </w:rPr>
        <w:t xml:space="preserve"> of debt</w:t>
      </w:r>
      <w:r w:rsidRPr="00CE0C68">
        <w:rPr>
          <w:shd w:val="clear" w:color="auto" w:fill="FFFFFF"/>
        </w:rPr>
        <w:t xml:space="preserve"> distress, the level of GNP per capita, creditworthiness</w:t>
      </w:r>
      <w:r>
        <w:rPr>
          <w:shd w:val="clear" w:color="auto" w:fill="FFFFFF"/>
        </w:rPr>
        <w:t>,</w:t>
      </w:r>
      <w:r w:rsidRPr="00CE0C68">
        <w:rPr>
          <w:shd w:val="clear" w:color="auto" w:fill="FFFFFF"/>
        </w:rPr>
        <w:t xml:space="preserve"> as well as project</w:t>
      </w:r>
      <w:r>
        <w:rPr>
          <w:shd w:val="clear" w:color="auto" w:fill="FFFFFF"/>
        </w:rPr>
        <w:t>-</w:t>
      </w:r>
      <w:r w:rsidRPr="00CE0C68">
        <w:rPr>
          <w:shd w:val="clear" w:color="auto" w:fill="FFFFFF"/>
        </w:rPr>
        <w:t xml:space="preserve">specific parameters where loans go to financing development projects. </w:t>
      </w:r>
    </w:p>
    <w:p w14:paraId="57FC28BB" w14:textId="08502323" w:rsidR="00CE7C11" w:rsidRDefault="00CD0667" w:rsidP="00FF4061">
      <w:pPr>
        <w:rPr>
          <w:rFonts w:ascii="Arial" w:hAnsi="Arial" w:cs="Arial"/>
          <w:szCs w:val="20"/>
        </w:rPr>
      </w:pPr>
      <w:r>
        <w:rPr>
          <w:rFonts w:ascii="Arial" w:hAnsi="Arial" w:cs="Arial"/>
          <w:szCs w:val="20"/>
        </w:rPr>
        <w:t>While it is important to consider the terms at which loans are provided</w:t>
      </w:r>
      <w:r w:rsidR="0084464F">
        <w:rPr>
          <w:rFonts w:ascii="Arial" w:hAnsi="Arial" w:cs="Arial"/>
          <w:szCs w:val="20"/>
        </w:rPr>
        <w:t>,</w:t>
      </w:r>
      <w:r w:rsidR="003D3826">
        <w:rPr>
          <w:rFonts w:ascii="Arial" w:hAnsi="Arial" w:cs="Arial"/>
          <w:szCs w:val="20"/>
        </w:rPr>
        <w:t xml:space="preserve"> </w:t>
      </w:r>
      <w:r w:rsidR="007019D5">
        <w:rPr>
          <w:rFonts w:ascii="Arial" w:hAnsi="Arial" w:cs="Arial"/>
          <w:szCs w:val="20"/>
        </w:rPr>
        <w:t>both</w:t>
      </w:r>
      <w:r w:rsidR="003D3826">
        <w:rPr>
          <w:rFonts w:ascii="Arial" w:hAnsi="Arial" w:cs="Arial"/>
          <w:szCs w:val="20"/>
        </w:rPr>
        <w:t xml:space="preserve"> concessional </w:t>
      </w:r>
      <w:r w:rsidR="007019D5">
        <w:rPr>
          <w:rFonts w:ascii="Arial" w:hAnsi="Arial" w:cs="Arial"/>
          <w:szCs w:val="20"/>
        </w:rPr>
        <w:t>and</w:t>
      </w:r>
      <w:r w:rsidR="003D3826">
        <w:rPr>
          <w:rFonts w:ascii="Arial" w:hAnsi="Arial" w:cs="Arial"/>
          <w:szCs w:val="20"/>
        </w:rPr>
        <w:t xml:space="preserve"> no</w:t>
      </w:r>
      <w:r w:rsidR="007019D5">
        <w:rPr>
          <w:rFonts w:ascii="Arial" w:hAnsi="Arial" w:cs="Arial"/>
          <w:szCs w:val="20"/>
        </w:rPr>
        <w:t>n-concessional loans</w:t>
      </w:r>
      <w:r w:rsidR="003D3826">
        <w:rPr>
          <w:rFonts w:ascii="Arial" w:hAnsi="Arial" w:cs="Arial"/>
          <w:szCs w:val="20"/>
        </w:rPr>
        <w:t xml:space="preserve"> </w:t>
      </w:r>
      <w:r w:rsidR="0084464F">
        <w:rPr>
          <w:rFonts w:ascii="Arial" w:hAnsi="Arial" w:cs="Arial"/>
          <w:szCs w:val="20"/>
        </w:rPr>
        <w:t>increase</w:t>
      </w:r>
      <w:r w:rsidR="000E5A88">
        <w:rPr>
          <w:rFonts w:ascii="Arial" w:hAnsi="Arial" w:cs="Arial"/>
          <w:szCs w:val="20"/>
        </w:rPr>
        <w:t xml:space="preserve"> a</w:t>
      </w:r>
      <w:r w:rsidR="0084464F">
        <w:rPr>
          <w:rFonts w:ascii="Arial" w:hAnsi="Arial" w:cs="Arial"/>
          <w:szCs w:val="20"/>
        </w:rPr>
        <w:t xml:space="preserve"> government’s debt burden </w:t>
      </w:r>
      <w:r w:rsidR="003D3826">
        <w:rPr>
          <w:rFonts w:ascii="Arial" w:hAnsi="Arial" w:cs="Arial"/>
          <w:szCs w:val="20"/>
        </w:rPr>
        <w:t>and need to be</w:t>
      </w:r>
      <w:r w:rsidR="00E272F8" w:rsidRPr="004344E3">
        <w:rPr>
          <w:rFonts w:ascii="Arial" w:hAnsi="Arial" w:cs="Arial"/>
          <w:szCs w:val="20"/>
        </w:rPr>
        <w:t xml:space="preserve"> repaid</w:t>
      </w:r>
      <w:r>
        <w:rPr>
          <w:rFonts w:ascii="Arial" w:hAnsi="Arial" w:cs="Arial"/>
          <w:szCs w:val="20"/>
        </w:rPr>
        <w:t>.</w:t>
      </w:r>
      <w:r w:rsidR="00CE7C11">
        <w:rPr>
          <w:rFonts w:ascii="Arial" w:hAnsi="Arial" w:cs="Arial"/>
          <w:szCs w:val="20"/>
        </w:rPr>
        <w:t xml:space="preserve"> </w:t>
      </w:r>
      <w:r w:rsidR="00520B68">
        <w:rPr>
          <w:shd w:val="clear" w:color="auto" w:fill="FFFFFF"/>
        </w:rPr>
        <w:t xml:space="preserve">Public external debt (also known as foreign debt) makes up the largest share (61%) of total public debt. </w:t>
      </w:r>
      <w:bookmarkStart w:id="15" w:name="_Hlk89765003"/>
      <w:r w:rsidR="00520B68">
        <w:rPr>
          <w:shd w:val="clear" w:color="auto" w:fill="FFFFFF"/>
        </w:rPr>
        <w:t xml:space="preserve">While there is growing concern over increasing debt and </w:t>
      </w:r>
      <w:r w:rsidR="00BF0D64">
        <w:rPr>
          <w:shd w:val="clear" w:color="auto" w:fill="FFFFFF"/>
        </w:rPr>
        <w:t xml:space="preserve">the </w:t>
      </w:r>
      <w:r w:rsidR="00520B68">
        <w:rPr>
          <w:shd w:val="clear" w:color="auto" w:fill="FFFFFF"/>
        </w:rPr>
        <w:t>negative impact of debt servicing on Uganda’s fiscal space, mo</w:t>
      </w:r>
      <w:r w:rsidR="00520B68" w:rsidRPr="00082557">
        <w:rPr>
          <w:shd w:val="clear" w:color="auto" w:fill="FFFFFF"/>
        </w:rPr>
        <w:t>st of Uganda</w:t>
      </w:r>
      <w:r w:rsidR="00DA5FD4">
        <w:rPr>
          <w:shd w:val="clear" w:color="auto" w:fill="FFFFFF"/>
        </w:rPr>
        <w:t>’</w:t>
      </w:r>
      <w:r w:rsidR="00520B68" w:rsidRPr="00082557">
        <w:rPr>
          <w:shd w:val="clear" w:color="auto" w:fill="FFFFFF"/>
        </w:rPr>
        <w:t>s non-concessional loans come from domestic borrowing</w:t>
      </w:r>
      <w:r w:rsidR="00064270">
        <w:rPr>
          <w:shd w:val="clear" w:color="auto" w:fill="FFFFFF"/>
        </w:rPr>
        <w:t>. R</w:t>
      </w:r>
      <w:r w:rsidR="00520B68">
        <w:rPr>
          <w:shd w:val="clear" w:color="auto" w:fill="FFFFFF"/>
        </w:rPr>
        <w:t xml:space="preserve">ecent growth </w:t>
      </w:r>
      <w:r w:rsidR="00064270">
        <w:rPr>
          <w:shd w:val="clear" w:color="auto" w:fill="FFFFFF"/>
        </w:rPr>
        <w:t xml:space="preserve">in domestic borrowing </w:t>
      </w:r>
      <w:r w:rsidR="00520B68">
        <w:rPr>
          <w:shd w:val="clear" w:color="auto" w:fill="FFFFFF"/>
        </w:rPr>
        <w:t>has contributed to much of the increase in public debt</w:t>
      </w:r>
      <w:bookmarkEnd w:id="15"/>
      <w:r w:rsidR="00064270">
        <w:rPr>
          <w:shd w:val="clear" w:color="auto" w:fill="FFFFFF"/>
        </w:rPr>
        <w:t>.</w:t>
      </w:r>
      <w:r w:rsidR="00520B68">
        <w:rPr>
          <w:rStyle w:val="EndnoteReference"/>
          <w:rFonts w:cs="Helvetica"/>
          <w:shd w:val="clear" w:color="auto" w:fill="FFFFFF"/>
        </w:rPr>
        <w:endnoteReference w:id="5"/>
      </w:r>
    </w:p>
    <w:p w14:paraId="55661EF0" w14:textId="72EED534" w:rsidR="00B65C9D" w:rsidRPr="00082557" w:rsidRDefault="00B05CDF" w:rsidP="00CE0C68">
      <w:pPr>
        <w:rPr>
          <w:shd w:val="clear" w:color="auto" w:fill="FFFFFF"/>
        </w:rPr>
      </w:pPr>
      <w:bookmarkStart w:id="16" w:name="_Hlk89764963"/>
      <w:r>
        <w:rPr>
          <w:shd w:val="clear" w:color="auto" w:fill="FFFFFF"/>
        </w:rPr>
        <w:t xml:space="preserve">The </w:t>
      </w:r>
      <w:r w:rsidR="00E13E04">
        <w:rPr>
          <w:shd w:val="clear" w:color="auto" w:fill="FFFFFF"/>
        </w:rPr>
        <w:t xml:space="preserve">World Bank and IMF’s </w:t>
      </w:r>
      <w:r>
        <w:rPr>
          <w:shd w:val="clear" w:color="auto" w:fill="FFFFFF"/>
        </w:rPr>
        <w:t xml:space="preserve">lending </w:t>
      </w:r>
      <w:r w:rsidR="00B408DF">
        <w:rPr>
          <w:shd w:val="clear" w:color="auto" w:fill="FFFFFF"/>
        </w:rPr>
        <w:t xml:space="preserve">rates </w:t>
      </w:r>
      <w:r>
        <w:rPr>
          <w:shd w:val="clear" w:color="auto" w:fill="FFFFFF"/>
        </w:rPr>
        <w:t>to Uganda</w:t>
      </w:r>
      <w:r w:rsidR="005C318E">
        <w:rPr>
          <w:shd w:val="clear" w:color="auto" w:fill="FFFFFF"/>
        </w:rPr>
        <w:t xml:space="preserve"> for </w:t>
      </w:r>
      <w:r w:rsidR="001C3D9B">
        <w:rPr>
          <w:shd w:val="clear" w:color="auto" w:fill="FFFFFF"/>
        </w:rPr>
        <w:t>ODA have</w:t>
      </w:r>
      <w:r>
        <w:rPr>
          <w:shd w:val="clear" w:color="auto" w:fill="FFFFFF"/>
        </w:rPr>
        <w:t xml:space="preserve"> historically been below market rates (concessional)</w:t>
      </w:r>
      <w:r w:rsidR="00CE0C68">
        <w:rPr>
          <w:shd w:val="clear" w:color="auto" w:fill="FFFFFF"/>
        </w:rPr>
        <w:t>. T</w:t>
      </w:r>
      <w:r>
        <w:rPr>
          <w:shd w:val="clear" w:color="auto" w:fill="FFFFFF"/>
        </w:rPr>
        <w:t>his trend has continued with increased lending in 2020 and 2021</w:t>
      </w:r>
      <w:r w:rsidR="00520B68">
        <w:rPr>
          <w:shd w:val="clear" w:color="auto" w:fill="FFFFFF"/>
        </w:rPr>
        <w:t>,</w:t>
      </w:r>
      <w:r>
        <w:rPr>
          <w:shd w:val="clear" w:color="auto" w:fill="FFFFFF"/>
        </w:rPr>
        <w:t xml:space="preserve"> whe</w:t>
      </w:r>
      <w:r w:rsidR="00064270">
        <w:rPr>
          <w:shd w:val="clear" w:color="auto" w:fill="FFFFFF"/>
        </w:rPr>
        <w:t>n</w:t>
      </w:r>
      <w:r>
        <w:rPr>
          <w:shd w:val="clear" w:color="auto" w:fill="FFFFFF"/>
        </w:rPr>
        <w:t xml:space="preserve"> all loans were concessional. </w:t>
      </w:r>
      <w:bookmarkEnd w:id="16"/>
      <w:r w:rsidR="00BF0D64">
        <w:rPr>
          <w:shd w:val="clear" w:color="auto" w:fill="FFFFFF"/>
        </w:rPr>
        <w:t>However</w:t>
      </w:r>
      <w:r w:rsidR="00520B68">
        <w:rPr>
          <w:shd w:val="clear" w:color="auto" w:fill="FFFFFF"/>
        </w:rPr>
        <w:t>,</w:t>
      </w:r>
      <w:r w:rsidR="00E13E04">
        <w:rPr>
          <w:shd w:val="clear" w:color="auto" w:fill="FFFFFF"/>
        </w:rPr>
        <w:t xml:space="preserve"> not</w:t>
      </w:r>
      <w:r w:rsidR="00520B68">
        <w:rPr>
          <w:shd w:val="clear" w:color="auto" w:fill="FFFFFF"/>
        </w:rPr>
        <w:t xml:space="preserve"> all</w:t>
      </w:r>
      <w:r w:rsidR="00E13E04">
        <w:rPr>
          <w:shd w:val="clear" w:color="auto" w:fill="FFFFFF"/>
        </w:rPr>
        <w:t xml:space="preserve"> AfDB lending to Uganda </w:t>
      </w:r>
      <w:r w:rsidR="00520B68">
        <w:rPr>
          <w:shd w:val="clear" w:color="auto" w:fill="FFFFFF"/>
        </w:rPr>
        <w:t>between January 2018 and June 2021</w:t>
      </w:r>
      <w:r w:rsidR="00E13E04">
        <w:rPr>
          <w:shd w:val="clear" w:color="auto" w:fill="FFFFFF"/>
        </w:rPr>
        <w:t xml:space="preserve"> has been concessional. </w:t>
      </w:r>
    </w:p>
    <w:p w14:paraId="4CFEE2F6" w14:textId="0560B256" w:rsidR="00000212" w:rsidRDefault="00D271E3" w:rsidP="00DB0711">
      <w:pPr>
        <w:rPr>
          <w:shd w:val="clear" w:color="auto" w:fill="FFFFFF"/>
        </w:rPr>
      </w:pPr>
      <w:r w:rsidRPr="00CE0C68">
        <w:rPr>
          <w:shd w:val="clear" w:color="auto" w:fill="FFFFFF"/>
        </w:rPr>
        <w:t xml:space="preserve">The lending terms for the </w:t>
      </w:r>
      <w:r w:rsidR="00543B97" w:rsidRPr="005F1C01">
        <w:rPr>
          <w:lang w:val="en-US"/>
        </w:rPr>
        <w:t>World Bank</w:t>
      </w:r>
      <w:r w:rsidRPr="00CE0C68">
        <w:rPr>
          <w:shd w:val="clear" w:color="auto" w:fill="FFFFFF"/>
        </w:rPr>
        <w:t xml:space="preserve"> are update</w:t>
      </w:r>
      <w:r w:rsidR="00B408DF" w:rsidRPr="00CE0C68">
        <w:rPr>
          <w:shd w:val="clear" w:color="auto" w:fill="FFFFFF"/>
        </w:rPr>
        <w:t>d</w:t>
      </w:r>
      <w:r w:rsidRPr="00CE0C68">
        <w:rPr>
          <w:shd w:val="clear" w:color="auto" w:fill="FFFFFF"/>
        </w:rPr>
        <w:t xml:space="preserve"> and published</w:t>
      </w:r>
      <w:r w:rsidR="00BF0D64">
        <w:rPr>
          <w:shd w:val="clear" w:color="auto" w:fill="FFFFFF"/>
        </w:rPr>
        <w:t xml:space="preserve"> </w:t>
      </w:r>
      <w:r w:rsidRPr="00CE0C68">
        <w:rPr>
          <w:shd w:val="clear" w:color="auto" w:fill="FFFFFF"/>
        </w:rPr>
        <w:t>every quarter</w:t>
      </w:r>
      <w:r w:rsidR="00B408DF" w:rsidRPr="00CE0C68">
        <w:rPr>
          <w:shd w:val="clear" w:color="auto" w:fill="FFFFFF"/>
        </w:rPr>
        <w:t xml:space="preserve">. </w:t>
      </w:r>
      <w:r w:rsidR="00B408DF" w:rsidRPr="00477F43">
        <w:rPr>
          <w:shd w:val="clear" w:color="auto" w:fill="FFFFFF"/>
        </w:rPr>
        <w:t>A</w:t>
      </w:r>
      <w:r w:rsidR="00E272F8" w:rsidRPr="00477F43">
        <w:rPr>
          <w:shd w:val="clear" w:color="auto" w:fill="FFFFFF"/>
        </w:rPr>
        <w:t>ll World Bank loan transactions for Uganda for the period under review</w:t>
      </w:r>
      <w:r w:rsidR="00817581" w:rsidRPr="00477F43">
        <w:rPr>
          <w:shd w:val="clear" w:color="auto" w:fill="FFFFFF"/>
        </w:rPr>
        <w:t xml:space="preserve"> </w:t>
      </w:r>
      <w:r w:rsidR="00BF0D64">
        <w:rPr>
          <w:shd w:val="clear" w:color="auto" w:fill="FFFFFF"/>
        </w:rPr>
        <w:t>were</w:t>
      </w:r>
      <w:r w:rsidRPr="00477F43">
        <w:rPr>
          <w:shd w:val="clear" w:color="auto" w:fill="FFFFFF"/>
        </w:rPr>
        <w:t xml:space="preserve"> </w:t>
      </w:r>
      <w:r w:rsidR="00000212" w:rsidRPr="00477F43">
        <w:rPr>
          <w:shd w:val="clear" w:color="auto" w:fill="FFFFFF"/>
        </w:rPr>
        <w:t>concessional</w:t>
      </w:r>
      <w:r w:rsidR="00356263">
        <w:rPr>
          <w:shd w:val="clear" w:color="auto" w:fill="FFFFFF"/>
        </w:rPr>
        <w:t>.</w:t>
      </w:r>
      <w:r w:rsidR="00000212" w:rsidRPr="00477F43">
        <w:rPr>
          <w:rStyle w:val="EndnoteReference"/>
          <w:rFonts w:cs="Open Sans"/>
          <w:szCs w:val="23"/>
          <w:shd w:val="clear" w:color="auto" w:fill="FFFFFF"/>
        </w:rPr>
        <w:endnoteReference w:id="6"/>
      </w:r>
      <w:r w:rsidR="00B408DF" w:rsidRPr="00477F43">
        <w:rPr>
          <w:shd w:val="clear" w:color="auto" w:fill="FFFFFF"/>
        </w:rPr>
        <w:t xml:space="preserve"> </w:t>
      </w:r>
      <w:r w:rsidR="00B408DF" w:rsidRPr="00934ECB">
        <w:rPr>
          <w:shd w:val="clear" w:color="auto" w:fill="FFFFFF"/>
        </w:rPr>
        <w:t>T</w:t>
      </w:r>
      <w:r w:rsidRPr="00934ECB">
        <w:rPr>
          <w:shd w:val="clear" w:color="auto" w:fill="FFFFFF"/>
        </w:rPr>
        <w:t>he specific terms may differ depending on when the loans were acquired</w:t>
      </w:r>
      <w:r w:rsidR="00000212" w:rsidRPr="00934ECB">
        <w:rPr>
          <w:shd w:val="clear" w:color="auto" w:fill="FFFFFF"/>
        </w:rPr>
        <w:t>.</w:t>
      </w:r>
      <w:r w:rsidR="00DE7404" w:rsidRPr="00934ECB">
        <w:rPr>
          <w:shd w:val="clear" w:color="auto" w:fill="FFFFFF"/>
        </w:rPr>
        <w:t xml:space="preserve"> </w:t>
      </w:r>
      <w:r w:rsidR="00CB6927" w:rsidRPr="00934ECB">
        <w:rPr>
          <w:shd w:val="clear" w:color="auto" w:fill="FFFFFF"/>
        </w:rPr>
        <w:t>For example, the loans acquired in 2018 came with fixed rates (including service and interest) ranging from 2.</w:t>
      </w:r>
      <w:r w:rsidR="001329D8">
        <w:rPr>
          <w:shd w:val="clear" w:color="auto" w:fill="FFFFFF"/>
        </w:rPr>
        <w:t>8</w:t>
      </w:r>
      <w:r w:rsidR="00CB6927" w:rsidRPr="00934ECB">
        <w:rPr>
          <w:shd w:val="clear" w:color="auto" w:fill="FFFFFF"/>
        </w:rPr>
        <w:t>% to 2.</w:t>
      </w:r>
      <w:r w:rsidR="001329D8">
        <w:rPr>
          <w:shd w:val="clear" w:color="auto" w:fill="FFFFFF"/>
        </w:rPr>
        <w:t>9</w:t>
      </w:r>
      <w:r w:rsidR="00CB6927" w:rsidRPr="00934ECB">
        <w:rPr>
          <w:shd w:val="clear" w:color="auto" w:fill="FFFFFF"/>
        </w:rPr>
        <w:t xml:space="preserve">%, in 2019 they ranged from 2.9% to </w:t>
      </w:r>
      <w:r w:rsidR="001329D8">
        <w:rPr>
          <w:shd w:val="clear" w:color="auto" w:fill="FFFFFF"/>
        </w:rPr>
        <w:t>3.0</w:t>
      </w:r>
      <w:r w:rsidR="00CB6927" w:rsidRPr="00934ECB">
        <w:rPr>
          <w:shd w:val="clear" w:color="auto" w:fill="FFFFFF"/>
        </w:rPr>
        <w:t>%, the loans in 2020 had the lowest terms ranging from 2.6% to 2.8%</w:t>
      </w:r>
      <w:r w:rsidR="00DA5FD4">
        <w:rPr>
          <w:shd w:val="clear" w:color="auto" w:fill="FFFFFF"/>
        </w:rPr>
        <w:t>,</w:t>
      </w:r>
      <w:r w:rsidR="00CB6927" w:rsidRPr="00934ECB">
        <w:rPr>
          <w:shd w:val="clear" w:color="auto" w:fill="FFFFFF"/>
        </w:rPr>
        <w:t xml:space="preserve"> and in 2021 </w:t>
      </w:r>
      <w:r w:rsidR="00BF0D64">
        <w:rPr>
          <w:shd w:val="clear" w:color="auto" w:fill="FFFFFF"/>
        </w:rPr>
        <w:t xml:space="preserve">terms ranged from </w:t>
      </w:r>
      <w:r w:rsidR="00CB6927" w:rsidRPr="00934ECB">
        <w:rPr>
          <w:shd w:val="clear" w:color="auto" w:fill="FFFFFF"/>
        </w:rPr>
        <w:t>2.8% to 3.</w:t>
      </w:r>
      <w:r w:rsidR="001329D8">
        <w:rPr>
          <w:shd w:val="clear" w:color="auto" w:fill="FFFFFF"/>
        </w:rPr>
        <w:t>1</w:t>
      </w:r>
      <w:r w:rsidR="00CB6927" w:rsidRPr="00934ECB">
        <w:rPr>
          <w:shd w:val="clear" w:color="auto" w:fill="FFFFFF"/>
        </w:rPr>
        <w:t>%.</w:t>
      </w:r>
      <w:r w:rsidR="00021267">
        <w:rPr>
          <w:rStyle w:val="EndnoteReference"/>
          <w:shd w:val="clear" w:color="auto" w:fill="FFFFFF"/>
        </w:rPr>
        <w:endnoteReference w:id="7"/>
      </w:r>
      <w:r w:rsidR="00CB6927" w:rsidRPr="00934ECB">
        <w:rPr>
          <w:shd w:val="clear" w:color="auto" w:fill="FFFFFF"/>
        </w:rPr>
        <w:t xml:space="preserve"> </w:t>
      </w:r>
    </w:p>
    <w:p w14:paraId="544FEFE9" w14:textId="5613F0E0" w:rsidR="00103B13" w:rsidRPr="00356263" w:rsidRDefault="00356263" w:rsidP="00DB0711">
      <w:pPr>
        <w:rPr>
          <w:lang w:val="en-US"/>
        </w:rPr>
      </w:pPr>
      <w:r>
        <w:t xml:space="preserve">The two most recent IMF loans </w:t>
      </w:r>
      <w:r w:rsidR="006C6760">
        <w:t xml:space="preserve">disbursed </w:t>
      </w:r>
      <w:r>
        <w:t xml:space="preserve">to Uganda are </w:t>
      </w:r>
      <w:r w:rsidR="00BF0D64">
        <w:t>a</w:t>
      </w:r>
      <w:r w:rsidR="006C6760">
        <w:t xml:space="preserve"> </w:t>
      </w:r>
      <w:r>
        <w:t>US</w:t>
      </w:r>
      <w:r w:rsidRPr="00082557">
        <w:t>$49</w:t>
      </w:r>
      <w:r w:rsidR="00474B02">
        <w:t>2</w:t>
      </w:r>
      <w:r w:rsidRPr="00082557">
        <w:t xml:space="preserve"> </w:t>
      </w:r>
      <w:r w:rsidRPr="00623EBC">
        <w:t>million</w:t>
      </w:r>
      <w:r w:rsidRPr="00623EBC">
        <w:rPr>
          <w:color w:val="202124"/>
          <w:shd w:val="clear" w:color="auto" w:fill="FFFFFF"/>
        </w:rPr>
        <w:t xml:space="preserve"> commitment </w:t>
      </w:r>
      <w:r w:rsidRPr="00623EBC">
        <w:t>under</w:t>
      </w:r>
      <w:r w:rsidRPr="00082557">
        <w:t xml:space="preserve"> the Rapid Credit Facility</w:t>
      </w:r>
      <w:r>
        <w:t xml:space="preserve"> in May 2020 and a US$1 billion commitment </w:t>
      </w:r>
      <w:r w:rsidR="00DA5FD4">
        <w:t xml:space="preserve">begun </w:t>
      </w:r>
      <w:r>
        <w:t>in June 2021 under the Extended Credit Facility (EC</w:t>
      </w:r>
      <w:r w:rsidR="00BF0D64">
        <w:t>F</w:t>
      </w:r>
      <w:r>
        <w:t>). According to the IMF, the loans under the ECF have</w:t>
      </w:r>
      <w:r w:rsidRPr="00082557">
        <w:t xml:space="preserve"> a</w:t>
      </w:r>
      <w:r>
        <w:t xml:space="preserve">n </w:t>
      </w:r>
      <w:r w:rsidRPr="00082557">
        <w:t>interest rate</w:t>
      </w:r>
      <w:r>
        <w:t xml:space="preserve"> of zero</w:t>
      </w:r>
      <w:r w:rsidRPr="00082557">
        <w:t xml:space="preserve">, with a grace period of </w:t>
      </w:r>
      <w:r>
        <w:t xml:space="preserve">five </w:t>
      </w:r>
      <w:r w:rsidRPr="00082557">
        <w:t>and</w:t>
      </w:r>
      <w:r>
        <w:t xml:space="preserve"> a </w:t>
      </w:r>
      <w:r w:rsidRPr="00082557">
        <w:t>half years,</w:t>
      </w:r>
      <w:r>
        <w:rPr>
          <w:rFonts w:ascii="Helvetica" w:hAnsi="Helvetica" w:cs="Helvetica"/>
          <w:color w:val="2C2825"/>
          <w:shd w:val="clear" w:color="auto" w:fill="FFFFFF"/>
        </w:rPr>
        <w:t xml:space="preserve"> </w:t>
      </w:r>
      <w:r w:rsidRPr="00082557">
        <w:t xml:space="preserve">and a final maturity of </w:t>
      </w:r>
      <w:r w:rsidR="00BF0D64">
        <w:t xml:space="preserve">10 </w:t>
      </w:r>
      <w:r w:rsidRPr="00082557">
        <w:t>years</w:t>
      </w:r>
      <w:r>
        <w:t>.</w:t>
      </w:r>
      <w:r w:rsidRPr="00CE0C68">
        <w:rPr>
          <w:vertAlign w:val="superscript"/>
        </w:rPr>
        <w:endnoteReference w:id="8"/>
      </w:r>
      <w:r w:rsidRPr="00082557">
        <w:t xml:space="preserve"> Uganda’s ECF</w:t>
      </w:r>
      <w:r>
        <w:t xml:space="preserve"> commitment will be </w:t>
      </w:r>
      <w:r w:rsidRPr="00082557">
        <w:t>disbursed in semi-annual tranches</w:t>
      </w:r>
      <w:r>
        <w:t xml:space="preserve"> over a period of</w:t>
      </w:r>
      <w:r w:rsidRPr="00082557">
        <w:t xml:space="preserve"> three years,</w:t>
      </w:r>
      <w:r>
        <w:t xml:space="preserve"> and</w:t>
      </w:r>
      <w:r w:rsidRPr="00082557">
        <w:t xml:space="preserve"> subject </w:t>
      </w:r>
      <w:r>
        <w:t xml:space="preserve">to </w:t>
      </w:r>
      <w:r w:rsidRPr="00082557">
        <w:t>six</w:t>
      </w:r>
      <w:r>
        <w:t>-</w:t>
      </w:r>
      <w:r w:rsidRPr="00082557">
        <w:t>month</w:t>
      </w:r>
      <w:r>
        <w:t>ly</w:t>
      </w:r>
      <w:r w:rsidRPr="00082557">
        <w:t xml:space="preserve"> reviews</w:t>
      </w:r>
      <w:r>
        <w:t xml:space="preserve"> assessing the government’s progress in implementing economic reforms.</w:t>
      </w:r>
      <w:r>
        <w:rPr>
          <w:rStyle w:val="EndnoteReference"/>
          <w:rFonts w:cs="Helvetica"/>
          <w:shd w:val="clear" w:color="auto" w:fill="FFFFFF"/>
        </w:rPr>
        <w:endnoteReference w:id="9"/>
      </w:r>
    </w:p>
    <w:p w14:paraId="2648F116" w14:textId="0FBE402A" w:rsidR="004E4A31" w:rsidRDefault="004E4A31" w:rsidP="00356263">
      <w:bookmarkStart w:id="17" w:name="_Hlk89765069"/>
      <w:r w:rsidRPr="00934ECB">
        <w:rPr>
          <w:shd w:val="clear" w:color="auto" w:fill="FFFFFF"/>
        </w:rPr>
        <w:t>Beside</w:t>
      </w:r>
      <w:r w:rsidR="00FB7FF1">
        <w:rPr>
          <w:shd w:val="clear" w:color="auto" w:fill="FFFFFF"/>
        </w:rPr>
        <w:t>s</w:t>
      </w:r>
      <w:r w:rsidRPr="00934ECB">
        <w:rPr>
          <w:shd w:val="clear" w:color="auto" w:fill="FFFFFF"/>
        </w:rPr>
        <w:t xml:space="preserve"> the lending rates, t</w:t>
      </w:r>
      <w:r w:rsidRPr="00934ECB">
        <w:t xml:space="preserve">he World Bank maintains its budget support reform conditions on </w:t>
      </w:r>
      <w:r w:rsidR="00356263">
        <w:t xml:space="preserve">loans linked to the </w:t>
      </w:r>
      <w:r w:rsidRPr="00934ECB">
        <w:t xml:space="preserve">Covid-19 crises, </w:t>
      </w:r>
      <w:r w:rsidR="009E5A29" w:rsidRPr="00934ECB">
        <w:t xml:space="preserve">even when </w:t>
      </w:r>
      <w:r w:rsidRPr="00934ECB">
        <w:t xml:space="preserve">many of these reforms are focused on the </w:t>
      </w:r>
      <w:r w:rsidR="00543B97" w:rsidRPr="005F1C01">
        <w:rPr>
          <w:lang w:val="en-US"/>
        </w:rPr>
        <w:t>World Bank</w:t>
      </w:r>
      <w:r w:rsidRPr="00934ECB">
        <w:t>’s long</w:t>
      </w:r>
      <w:r w:rsidR="00543B97">
        <w:t>-</w:t>
      </w:r>
      <w:r w:rsidRPr="00934ECB">
        <w:t>term reform agenda and not directly relevant to the Covid-19 crisis at hand</w:t>
      </w:r>
      <w:bookmarkEnd w:id="17"/>
      <w:r w:rsidR="00356263">
        <w:t>.</w:t>
      </w:r>
      <w:r w:rsidRPr="00934ECB">
        <w:rPr>
          <w:rStyle w:val="EndnoteReference"/>
        </w:rPr>
        <w:endnoteReference w:id="10"/>
      </w:r>
      <w:r w:rsidRPr="00082557">
        <w:t xml:space="preserve"> </w:t>
      </w:r>
    </w:p>
    <w:p w14:paraId="2F9057B1" w14:textId="02EFF580" w:rsidR="001668EF" w:rsidRDefault="001668EF" w:rsidP="001668EF">
      <w:pPr>
        <w:rPr>
          <w:shd w:val="clear" w:color="auto" w:fill="FFFFFF"/>
        </w:rPr>
      </w:pPr>
      <w:r>
        <w:rPr>
          <w:shd w:val="clear" w:color="auto" w:fill="FFFFFF"/>
        </w:rPr>
        <w:t xml:space="preserve">AfDB lending to Uganda </w:t>
      </w:r>
      <w:r w:rsidR="004D2208">
        <w:rPr>
          <w:shd w:val="clear" w:color="auto" w:fill="FFFFFF"/>
        </w:rPr>
        <w:t>from January 2018 to June 2021</w:t>
      </w:r>
      <w:r>
        <w:rPr>
          <w:shd w:val="clear" w:color="auto" w:fill="FFFFFF"/>
        </w:rPr>
        <w:t xml:space="preserve"> can be categorised into project</w:t>
      </w:r>
      <w:r w:rsidR="00FB7FF1">
        <w:rPr>
          <w:shd w:val="clear" w:color="auto" w:fill="FFFFFF"/>
        </w:rPr>
        <w:t xml:space="preserve"> </w:t>
      </w:r>
      <w:r>
        <w:rPr>
          <w:shd w:val="clear" w:color="auto" w:fill="FFFFFF"/>
        </w:rPr>
        <w:t xml:space="preserve">type interventions and sector budget support. The budget support to Uganda comes from the African Development Fund (ADF) which is the concessional arm of the African </w:t>
      </w:r>
      <w:r>
        <w:rPr>
          <w:shd w:val="clear" w:color="auto" w:fill="FFFFFF"/>
        </w:rPr>
        <w:lastRenderedPageBreak/>
        <w:t>Development Bank</w:t>
      </w:r>
      <w:r w:rsidR="00997A08">
        <w:rPr>
          <w:shd w:val="clear" w:color="auto" w:fill="FFFFFF"/>
        </w:rPr>
        <w:t>.</w:t>
      </w:r>
      <w:r>
        <w:rPr>
          <w:rStyle w:val="EndnoteReference"/>
          <w:shd w:val="clear" w:color="auto" w:fill="FFFFFF"/>
        </w:rPr>
        <w:endnoteReference w:id="11"/>
      </w:r>
      <w:r>
        <w:rPr>
          <w:shd w:val="clear" w:color="auto" w:fill="FFFFFF"/>
        </w:rPr>
        <w:t xml:space="preserve"> For example, in 2020 the ADF approved a loan of US$31.6 million in support of</w:t>
      </w:r>
      <w:r w:rsidR="00BF0D64">
        <w:rPr>
          <w:shd w:val="clear" w:color="auto" w:fill="FFFFFF"/>
        </w:rPr>
        <w:t xml:space="preserve"> the</w:t>
      </w:r>
      <w:r>
        <w:rPr>
          <w:shd w:val="clear" w:color="auto" w:fill="FFFFFF"/>
        </w:rPr>
        <w:t xml:space="preserve"> Uganda</w:t>
      </w:r>
      <w:r w:rsidR="00BF0D64">
        <w:rPr>
          <w:shd w:val="clear" w:color="auto" w:fill="FFFFFF"/>
        </w:rPr>
        <w:t>n</w:t>
      </w:r>
      <w:r>
        <w:rPr>
          <w:shd w:val="clear" w:color="auto" w:fill="FFFFFF"/>
        </w:rPr>
        <w:t xml:space="preserve"> government’s C</w:t>
      </w:r>
      <w:r w:rsidR="00543B97">
        <w:rPr>
          <w:shd w:val="clear" w:color="auto" w:fill="FFFFFF"/>
        </w:rPr>
        <w:t>ovid</w:t>
      </w:r>
      <w:r>
        <w:rPr>
          <w:shd w:val="clear" w:color="auto" w:fill="FFFFFF"/>
        </w:rPr>
        <w:t>-19 response</w:t>
      </w:r>
      <w:r w:rsidR="003D50E9">
        <w:rPr>
          <w:shd w:val="clear" w:color="auto" w:fill="FFFFFF"/>
        </w:rPr>
        <w:t>.</w:t>
      </w:r>
      <w:r>
        <w:rPr>
          <w:rStyle w:val="EndnoteReference"/>
          <w:shd w:val="clear" w:color="auto" w:fill="FFFFFF"/>
        </w:rPr>
        <w:endnoteReference w:id="12"/>
      </w:r>
      <w:r>
        <w:rPr>
          <w:shd w:val="clear" w:color="auto" w:fill="FFFFFF"/>
        </w:rPr>
        <w:t xml:space="preserve"> However, this is more than the sector budget support loans reported as disbursed on IATI for 2020</w:t>
      </w:r>
      <w:r w:rsidR="00FB7FF1">
        <w:rPr>
          <w:shd w:val="clear" w:color="auto" w:fill="FFFFFF"/>
        </w:rPr>
        <w:t>,</w:t>
      </w:r>
      <w:r>
        <w:rPr>
          <w:shd w:val="clear" w:color="auto" w:fill="FFFFFF"/>
        </w:rPr>
        <w:t xml:space="preserve"> implying that either the loans disbursed in 2020 are from approv</w:t>
      </w:r>
      <w:r w:rsidR="00A43B6B">
        <w:rPr>
          <w:shd w:val="clear" w:color="auto" w:fill="FFFFFF"/>
        </w:rPr>
        <w:t xml:space="preserve">als </w:t>
      </w:r>
      <w:r>
        <w:rPr>
          <w:shd w:val="clear" w:color="auto" w:fill="FFFFFF"/>
        </w:rPr>
        <w:t xml:space="preserve">made in previous years or data is incorrectly reported in IATI. </w:t>
      </w:r>
    </w:p>
    <w:p w14:paraId="6CACEB08" w14:textId="098DAEE7" w:rsidR="00A43B6B" w:rsidRDefault="00A43B6B" w:rsidP="00A43B6B">
      <w:pPr>
        <w:pStyle w:val="FigureTitle"/>
        <w:rPr>
          <w:lang w:val="en-US"/>
        </w:rPr>
      </w:pPr>
      <w:r w:rsidRPr="007F5B83">
        <w:rPr>
          <w:lang w:val="en-US"/>
        </w:rPr>
        <w:t xml:space="preserve">Figure </w:t>
      </w:r>
      <w:r>
        <w:rPr>
          <w:lang w:val="en-US"/>
        </w:rPr>
        <w:t>3:</w:t>
      </w:r>
      <w:r w:rsidRPr="007F5B83">
        <w:rPr>
          <w:lang w:val="en-US"/>
        </w:rPr>
        <w:t xml:space="preserve"> </w:t>
      </w:r>
      <w:r w:rsidR="00250D78">
        <w:rPr>
          <w:lang w:val="en-US"/>
        </w:rPr>
        <w:t>Af</w:t>
      </w:r>
      <w:r w:rsidR="00A4680A">
        <w:rPr>
          <w:lang w:val="en-US"/>
        </w:rPr>
        <w:t xml:space="preserve">rican </w:t>
      </w:r>
      <w:r w:rsidR="009B0079" w:rsidRPr="009B0079">
        <w:t>D</w:t>
      </w:r>
      <w:r w:rsidR="00A4680A">
        <w:t xml:space="preserve">evelopment </w:t>
      </w:r>
      <w:r w:rsidR="009B0079" w:rsidRPr="009B0079">
        <w:t>B</w:t>
      </w:r>
      <w:r w:rsidR="00A4680A">
        <w:t>ank</w:t>
      </w:r>
      <w:r w:rsidR="009B0079" w:rsidRPr="009B0079">
        <w:t xml:space="preserve"> loans that are concessional (sector budget support) and non-concessional (project type interventions), 2018</w:t>
      </w:r>
      <w:r w:rsidR="00323373">
        <w:t>–</w:t>
      </w:r>
      <w:r w:rsidR="009B0079" w:rsidRPr="009B0079">
        <w:t>2020</w:t>
      </w:r>
    </w:p>
    <w:p w14:paraId="091C9CCF" w14:textId="18E3DE07" w:rsidR="00A43B6B" w:rsidRPr="002B7B4D" w:rsidRDefault="00A43B6B" w:rsidP="001668EF">
      <w:pPr>
        <w:rPr>
          <w:highlight w:val="yellow"/>
          <w:shd w:val="clear" w:color="auto" w:fill="FFFFFF"/>
        </w:rPr>
      </w:pPr>
      <w:r>
        <w:rPr>
          <w:noProof/>
        </w:rPr>
        <w:drawing>
          <wp:inline distT="0" distB="0" distL="0" distR="0" wp14:anchorId="78C961D2" wp14:editId="06087665">
            <wp:extent cx="5036185" cy="2147867"/>
            <wp:effectExtent l="0" t="0" r="0" b="5080"/>
            <wp:docPr id="3" name="Chart 3" descr="Figure 3: A stacked column chart showing concessional and non concessional loans disbursed to Uganda by the African Development Bank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A6840E05-57DD-49A9-9C28-BD5360B45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254D98" w14:textId="1B7B7783" w:rsidR="00A43B6B" w:rsidRDefault="00A43B6B" w:rsidP="00A43B6B">
      <w:pPr>
        <w:pStyle w:val="Source"/>
        <w:rPr>
          <w:lang w:val="en-US"/>
        </w:rPr>
      </w:pPr>
      <w:r>
        <w:rPr>
          <w:lang w:val="en-US"/>
        </w:rPr>
        <w:t>Source: Development Initiatives based on IATI and project documents from international financ</w:t>
      </w:r>
      <w:r w:rsidR="00B821D3">
        <w:rPr>
          <w:lang w:val="en-US"/>
        </w:rPr>
        <w:t>ial</w:t>
      </w:r>
      <w:r>
        <w:rPr>
          <w:lang w:val="en-US"/>
        </w:rPr>
        <w:t xml:space="preserve"> institution lenders.</w:t>
      </w:r>
    </w:p>
    <w:p w14:paraId="190B3383" w14:textId="59D3453A" w:rsidR="00B65B52" w:rsidRPr="00C87A1E" w:rsidRDefault="00601359" w:rsidP="00C87A1E">
      <w:pPr>
        <w:rPr>
          <w:highlight w:val="yellow"/>
          <w:shd w:val="clear" w:color="auto" w:fill="FFFFFF"/>
        </w:rPr>
      </w:pPr>
      <w:r>
        <w:rPr>
          <w:shd w:val="clear" w:color="auto" w:fill="FFFFFF"/>
        </w:rPr>
        <w:t>IMF lending is usually accompanied by terms</w:t>
      </w:r>
      <w:r w:rsidR="00A565D6">
        <w:rPr>
          <w:shd w:val="clear" w:color="auto" w:fill="FFFFFF"/>
        </w:rPr>
        <w:t xml:space="preserve">, </w:t>
      </w:r>
      <w:r>
        <w:rPr>
          <w:shd w:val="clear" w:color="auto" w:fill="FFFFFF"/>
        </w:rPr>
        <w:t xml:space="preserve">a set of corrective policy actions linked to conditions such as implementation of appropriate policies by </w:t>
      </w:r>
      <w:r w:rsidRPr="008C146F">
        <w:rPr>
          <w:shd w:val="clear" w:color="auto" w:fill="FFFFFF"/>
        </w:rPr>
        <w:t>borrowers</w:t>
      </w:r>
      <w:r w:rsidR="00C87A1E">
        <w:rPr>
          <w:shd w:val="clear" w:color="auto" w:fill="FFFFFF"/>
        </w:rPr>
        <w:t>.</w:t>
      </w:r>
      <w:r w:rsidRPr="00AC4CE4">
        <w:rPr>
          <w:vertAlign w:val="superscript"/>
        </w:rPr>
        <w:endnoteReference w:id="13"/>
      </w:r>
      <w:r w:rsidR="00AC4CE4">
        <w:rPr>
          <w:shd w:val="clear" w:color="auto" w:fill="FFFFFF"/>
        </w:rPr>
        <w:t xml:space="preserve"> </w:t>
      </w:r>
      <w:r w:rsidR="00E97E98" w:rsidRPr="008C146F">
        <w:rPr>
          <w:shd w:val="clear" w:color="auto" w:fill="FFFFFF"/>
        </w:rPr>
        <w:t xml:space="preserve">The corrective policy </w:t>
      </w:r>
      <w:r w:rsidR="008C146F" w:rsidRPr="008C146F">
        <w:rPr>
          <w:shd w:val="clear" w:color="auto" w:fill="FFFFFF"/>
        </w:rPr>
        <w:t>actions applied</w:t>
      </w:r>
      <w:r w:rsidR="00B65B52" w:rsidRPr="008C146F">
        <w:rPr>
          <w:shd w:val="clear" w:color="auto" w:fill="FFFFFF"/>
        </w:rPr>
        <w:t xml:space="preserve"> to the new loans to</w:t>
      </w:r>
      <w:r w:rsidR="00B65B52" w:rsidRPr="00AC4CE4">
        <w:rPr>
          <w:shd w:val="clear" w:color="auto" w:fill="FFFFFF"/>
        </w:rPr>
        <w:t xml:space="preserve"> Uganda</w:t>
      </w:r>
      <w:r w:rsidR="004E4A31" w:rsidRPr="00AC4CE4">
        <w:rPr>
          <w:shd w:val="clear" w:color="auto" w:fill="FFFFFF"/>
        </w:rPr>
        <w:t xml:space="preserve"> </w:t>
      </w:r>
      <w:r w:rsidR="00B65B52" w:rsidRPr="00AC4CE4">
        <w:t xml:space="preserve">are Covid-19 specific and targeted at </w:t>
      </w:r>
      <w:r w:rsidR="00B65B52" w:rsidRPr="00AC4CE4">
        <w:rPr>
          <w:shd w:val="clear" w:color="auto" w:fill="FFFFFF"/>
        </w:rPr>
        <w:t>increased transparency, accountability</w:t>
      </w:r>
      <w:r w:rsidR="00AA3F50">
        <w:rPr>
          <w:shd w:val="clear" w:color="auto" w:fill="FFFFFF"/>
        </w:rPr>
        <w:t xml:space="preserve"> </w:t>
      </w:r>
      <w:r w:rsidR="00AA3F50" w:rsidRPr="00AA3F50">
        <w:rPr>
          <w:shd w:val="clear" w:color="auto" w:fill="FFFFFF"/>
        </w:rPr>
        <w:t>and</w:t>
      </w:r>
      <w:r w:rsidR="00B65B52" w:rsidRPr="00AC4CE4">
        <w:rPr>
          <w:shd w:val="clear" w:color="auto" w:fill="FFFFFF"/>
        </w:rPr>
        <w:t xml:space="preserve"> efficiency in implementation of loan</w:t>
      </w:r>
      <w:r w:rsidR="00A565D6">
        <w:rPr>
          <w:shd w:val="clear" w:color="auto" w:fill="FFFFFF"/>
        </w:rPr>
        <w:t>-</w:t>
      </w:r>
      <w:r w:rsidR="00B65B52" w:rsidRPr="00AC4CE4">
        <w:rPr>
          <w:shd w:val="clear" w:color="auto" w:fill="FFFFFF"/>
        </w:rPr>
        <w:t>financed activities</w:t>
      </w:r>
      <w:r w:rsidR="00C87A1E">
        <w:rPr>
          <w:shd w:val="clear" w:color="auto" w:fill="FFFFFF"/>
        </w:rPr>
        <w:t>.</w:t>
      </w:r>
      <w:r w:rsidR="00B65B52" w:rsidRPr="00AC4CE4">
        <w:rPr>
          <w:rStyle w:val="EndnoteReference"/>
          <w:shd w:val="clear" w:color="auto" w:fill="FFFFFF"/>
        </w:rPr>
        <w:endnoteReference w:id="14"/>
      </w:r>
      <w:r w:rsidR="004E4A31" w:rsidRPr="00AC4CE4">
        <w:t xml:space="preserve"> </w:t>
      </w:r>
      <w:bookmarkStart w:id="18" w:name="_Hlk89765088"/>
      <w:r w:rsidR="00347FB4">
        <w:t>However</w:t>
      </w:r>
      <w:r w:rsidR="004E4A31" w:rsidRPr="00AC4CE4">
        <w:t xml:space="preserve">, the IMF is lauded </w:t>
      </w:r>
      <w:r w:rsidR="00E97E98" w:rsidRPr="00AC4CE4">
        <w:t xml:space="preserve">for </w:t>
      </w:r>
      <w:r w:rsidR="004E4A31" w:rsidRPr="00AC4CE4">
        <w:t>routing much of its Covid-19 financing through programmes with little to no conditionality</w:t>
      </w:r>
      <w:bookmarkEnd w:id="18"/>
      <w:r w:rsidR="00AA3F50">
        <w:t>.</w:t>
      </w:r>
      <w:r w:rsidR="004E4A31" w:rsidRPr="00AC4CE4">
        <w:rPr>
          <w:rStyle w:val="EndnoteReference"/>
        </w:rPr>
        <w:endnoteReference w:id="15"/>
      </w:r>
      <w:r w:rsidR="00BB4DC3">
        <w:t xml:space="preserve"> </w:t>
      </w:r>
      <w:r w:rsidR="003028D8" w:rsidRPr="003028D8">
        <w:t>Ideally, borrowing for Covid-related interventions would be subject to fewer conditionalities, so that the funds needed to meet urgent and pressing needs can be disbursed without the need to fulfil additional and often lengthy requirements.</w:t>
      </w:r>
    </w:p>
    <w:p w14:paraId="65C45927" w14:textId="23DBBAF7" w:rsidR="00DA32D5" w:rsidRDefault="00F17242" w:rsidP="00A219B7">
      <w:pPr>
        <w:rPr>
          <w:lang w:val="en-US"/>
        </w:rPr>
      </w:pPr>
      <w:r w:rsidRPr="00A219B7">
        <w:rPr>
          <w:shd w:val="clear" w:color="auto" w:fill="FFFFFF"/>
        </w:rPr>
        <w:t xml:space="preserve">IFIs </w:t>
      </w:r>
      <w:r w:rsidR="00E97E98" w:rsidRPr="00323373">
        <w:rPr>
          <w:shd w:val="clear" w:color="auto" w:fill="FFFFFF"/>
        </w:rPr>
        <w:t xml:space="preserve">apply </w:t>
      </w:r>
      <w:r w:rsidRPr="00323373">
        <w:rPr>
          <w:shd w:val="clear" w:color="auto" w:fill="FFFFFF"/>
        </w:rPr>
        <w:t>terms and conditions</w:t>
      </w:r>
      <w:r w:rsidR="00E97E98" w:rsidRPr="00323373">
        <w:rPr>
          <w:shd w:val="clear" w:color="auto" w:fill="FFFFFF"/>
        </w:rPr>
        <w:t xml:space="preserve"> to their loans</w:t>
      </w:r>
      <w:r w:rsidRPr="00323373">
        <w:rPr>
          <w:shd w:val="clear" w:color="auto" w:fill="FFFFFF"/>
        </w:rPr>
        <w:t>,</w:t>
      </w:r>
      <w:r w:rsidR="00BB4DC3" w:rsidRPr="00323373">
        <w:rPr>
          <w:shd w:val="clear" w:color="auto" w:fill="FFFFFF"/>
        </w:rPr>
        <w:t xml:space="preserve"> </w:t>
      </w:r>
      <w:r w:rsidR="000D3A08" w:rsidRPr="00323373">
        <w:rPr>
          <w:shd w:val="clear" w:color="auto" w:fill="FFFFFF"/>
        </w:rPr>
        <w:t xml:space="preserve">but </w:t>
      </w:r>
      <w:r w:rsidR="00BB4DC3" w:rsidRPr="00323373">
        <w:rPr>
          <w:shd w:val="clear" w:color="auto" w:fill="FFFFFF"/>
        </w:rPr>
        <w:t>loans can be made before these conditions are satisfied, which means that some conditionalities could become higher priorities than the original need that caused the government to borrow</w:t>
      </w:r>
      <w:r w:rsidR="00323373">
        <w:rPr>
          <w:shd w:val="clear" w:color="auto" w:fill="FFFFFF"/>
        </w:rPr>
        <w:t>.</w:t>
      </w:r>
      <w:r w:rsidRPr="00A219B7">
        <w:rPr>
          <w:vertAlign w:val="superscript"/>
        </w:rPr>
        <w:endnoteReference w:id="16"/>
      </w:r>
      <w:r w:rsidRPr="00A219B7">
        <w:rPr>
          <w:vertAlign w:val="superscript"/>
        </w:rPr>
        <w:t xml:space="preserve"> </w:t>
      </w:r>
      <w:r w:rsidRPr="00A219B7">
        <w:rPr>
          <w:shd w:val="clear" w:color="auto" w:fill="FFFFFF"/>
        </w:rPr>
        <w:t>Moreover, the terms and conditions related</w:t>
      </w:r>
      <w:r w:rsidR="005F3CD7" w:rsidRPr="00A219B7">
        <w:rPr>
          <w:shd w:val="clear" w:color="auto" w:fill="FFFFFF"/>
        </w:rPr>
        <w:t xml:space="preserve"> </w:t>
      </w:r>
      <w:r w:rsidR="0066792A" w:rsidRPr="00A219B7">
        <w:rPr>
          <w:shd w:val="clear" w:color="auto" w:fill="FFFFFF"/>
        </w:rPr>
        <w:t>to sectoral needs that</w:t>
      </w:r>
      <w:r w:rsidR="005F3CD7" w:rsidRPr="00A219B7">
        <w:rPr>
          <w:shd w:val="clear" w:color="auto" w:fill="FFFFFF"/>
        </w:rPr>
        <w:t xml:space="preserve"> developing countries often failed to </w:t>
      </w:r>
      <w:r w:rsidR="0066792A" w:rsidRPr="00A219B7">
        <w:rPr>
          <w:shd w:val="clear" w:color="auto" w:fill="FFFFFF"/>
        </w:rPr>
        <w:t>meet in</w:t>
      </w:r>
      <w:r w:rsidR="005F3CD7" w:rsidRPr="00A219B7">
        <w:rPr>
          <w:shd w:val="clear" w:color="auto" w:fill="FFFFFF"/>
        </w:rPr>
        <w:t xml:space="preserve"> normal times</w:t>
      </w:r>
      <w:r w:rsidRPr="00A219B7">
        <w:rPr>
          <w:shd w:val="clear" w:color="auto" w:fill="FFFFFF"/>
        </w:rPr>
        <w:t xml:space="preserve"> </w:t>
      </w:r>
      <w:r w:rsidR="0066792A" w:rsidRPr="00A219B7">
        <w:rPr>
          <w:shd w:val="clear" w:color="auto" w:fill="FFFFFF"/>
        </w:rPr>
        <w:t>(such as</w:t>
      </w:r>
      <w:r w:rsidRPr="00A219B7">
        <w:rPr>
          <w:shd w:val="clear" w:color="auto" w:fill="FFFFFF"/>
        </w:rPr>
        <w:t xml:space="preserve"> social protection, environmental sustainability, equity of public resource use, health and education</w:t>
      </w:r>
      <w:r w:rsidR="0066792A" w:rsidRPr="00A219B7">
        <w:rPr>
          <w:shd w:val="clear" w:color="auto" w:fill="FFFFFF"/>
        </w:rPr>
        <w:t>)</w:t>
      </w:r>
      <w:r w:rsidRPr="00A219B7">
        <w:rPr>
          <w:shd w:val="clear" w:color="auto" w:fill="FFFFFF"/>
        </w:rPr>
        <w:t xml:space="preserve"> now present</w:t>
      </w:r>
      <w:r w:rsidRPr="00AC4CE4">
        <w:t xml:space="preserve"> a bigger burden for countries like Uganda </w:t>
      </w:r>
      <w:r w:rsidR="0066792A">
        <w:t>that</w:t>
      </w:r>
      <w:r w:rsidR="0066792A" w:rsidRPr="00AC4CE4">
        <w:t xml:space="preserve"> </w:t>
      </w:r>
      <w:r w:rsidRPr="00AC4CE4">
        <w:t>would benefit from more speed and flexibility in loan disbursement during the Covid-19 crisis</w:t>
      </w:r>
      <w:r w:rsidR="0066792A">
        <w:t>.</w:t>
      </w:r>
      <w:r w:rsidRPr="00AC4CE4">
        <w:rPr>
          <w:vertAlign w:val="superscript"/>
        </w:rPr>
        <w:endnoteReference w:id="17"/>
      </w:r>
    </w:p>
    <w:p w14:paraId="71F119E7" w14:textId="6CAC1520" w:rsidR="000139C0" w:rsidRDefault="00402750" w:rsidP="000139C0">
      <w:pPr>
        <w:pStyle w:val="Heading1"/>
        <w:rPr>
          <w:lang w:val="en-US"/>
        </w:rPr>
      </w:pPr>
      <w:bookmarkStart w:id="19" w:name="_Toc91097888"/>
      <w:r>
        <w:rPr>
          <w:lang w:val="en-US"/>
        </w:rPr>
        <w:lastRenderedPageBreak/>
        <w:t>World Bank</w:t>
      </w:r>
      <w:r w:rsidR="000139C0">
        <w:rPr>
          <w:lang w:val="en-US"/>
        </w:rPr>
        <w:t>: focus of loans</w:t>
      </w:r>
      <w:bookmarkEnd w:id="19"/>
      <w:r>
        <w:rPr>
          <w:lang w:val="en-US"/>
        </w:rPr>
        <w:t xml:space="preserve"> </w:t>
      </w:r>
    </w:p>
    <w:p w14:paraId="173C7AF8" w14:textId="1B1280BE" w:rsidR="00402750" w:rsidRDefault="009B6A81" w:rsidP="0006682C">
      <w:pPr>
        <w:pStyle w:val="Heading2"/>
        <w:rPr>
          <w:lang w:val="en-US"/>
        </w:rPr>
      </w:pPr>
      <w:bookmarkStart w:id="20" w:name="_Toc91097889"/>
      <w:r>
        <w:rPr>
          <w:lang w:val="en-US"/>
        </w:rPr>
        <w:t xml:space="preserve">Sectors: </w:t>
      </w:r>
      <w:proofErr w:type="spellStart"/>
      <w:r>
        <w:rPr>
          <w:lang w:val="en-US"/>
        </w:rPr>
        <w:t>p</w:t>
      </w:r>
      <w:r w:rsidR="00B947E8">
        <w:rPr>
          <w:lang w:val="en-US"/>
        </w:rPr>
        <w:t>riorit</w:t>
      </w:r>
      <w:r w:rsidR="000139C0">
        <w:rPr>
          <w:lang w:val="en-US"/>
        </w:rPr>
        <w:t>ising</w:t>
      </w:r>
      <w:proofErr w:type="spellEnd"/>
      <w:r w:rsidR="00402750">
        <w:rPr>
          <w:lang w:val="en-US"/>
        </w:rPr>
        <w:t xml:space="preserve"> governance</w:t>
      </w:r>
      <w:r w:rsidR="00B947E8">
        <w:rPr>
          <w:lang w:val="en-US"/>
        </w:rPr>
        <w:t xml:space="preserve"> and security</w:t>
      </w:r>
      <w:bookmarkEnd w:id="20"/>
      <w:r w:rsidR="00B947E8">
        <w:rPr>
          <w:lang w:val="en-US"/>
        </w:rPr>
        <w:t xml:space="preserve"> </w:t>
      </w:r>
    </w:p>
    <w:p w14:paraId="35757E27" w14:textId="2C7312A6" w:rsidR="00FE0C9F" w:rsidRDefault="00D42FD5" w:rsidP="001114C2">
      <w:bookmarkStart w:id="21" w:name="_Hlk89765137"/>
      <w:r>
        <w:t>The</w:t>
      </w:r>
      <w:r w:rsidR="0066792A">
        <w:t xml:space="preserve"> World Bank provides the</w:t>
      </w:r>
      <w:r>
        <w:t xml:space="preserve"> </w:t>
      </w:r>
      <w:r w:rsidR="0066792A">
        <w:t>highest volume</w:t>
      </w:r>
      <w:r>
        <w:t xml:space="preserve"> of loans to Uganda</w:t>
      </w:r>
      <w:r w:rsidR="004E4A31" w:rsidRPr="00AC4CE4">
        <w:t xml:space="preserve">, </w:t>
      </w:r>
      <w:r w:rsidR="0066792A">
        <w:t>and</w:t>
      </w:r>
      <w:r w:rsidR="0066792A" w:rsidRPr="00AC4CE4">
        <w:t xml:space="preserve"> </w:t>
      </w:r>
      <w:r w:rsidR="004E4A31" w:rsidRPr="00AC4CE4">
        <w:t xml:space="preserve">is </w:t>
      </w:r>
      <w:r w:rsidR="0066792A">
        <w:t>the country’s</w:t>
      </w:r>
      <w:r w:rsidR="0066792A" w:rsidRPr="00AC4CE4">
        <w:t xml:space="preserve"> </w:t>
      </w:r>
      <w:r w:rsidR="004E4A31" w:rsidRPr="00AC4CE4">
        <w:t>biggest donor</w:t>
      </w:r>
      <w:r w:rsidR="00D00E93" w:rsidRPr="00AC4CE4">
        <w:t xml:space="preserve">. </w:t>
      </w:r>
      <w:bookmarkStart w:id="22" w:name="_Hlk89765167"/>
      <w:bookmarkEnd w:id="21"/>
      <w:r w:rsidR="00D00E93" w:rsidRPr="00AC4CE4">
        <w:t>M</w:t>
      </w:r>
      <w:r w:rsidRPr="00AC4CE4">
        <w:t xml:space="preserve">ore than a quarter of </w:t>
      </w:r>
      <w:r w:rsidR="00D00E93" w:rsidRPr="00AC4CE4">
        <w:t xml:space="preserve">World Bank </w:t>
      </w:r>
      <w:r w:rsidR="004E4A31" w:rsidRPr="00AC4CE4">
        <w:t xml:space="preserve">loans </w:t>
      </w:r>
      <w:r w:rsidR="001114C2" w:rsidRPr="00AC4CE4">
        <w:t xml:space="preserve">disbursed in the period under review </w:t>
      </w:r>
      <w:r w:rsidR="004E4A31" w:rsidRPr="00AC4CE4">
        <w:t>are to</w:t>
      </w:r>
      <w:r w:rsidR="0066792A">
        <w:t xml:space="preserve"> the</w:t>
      </w:r>
      <w:r w:rsidR="004E4A31" w:rsidRPr="00AC4CE4">
        <w:t xml:space="preserve"> </w:t>
      </w:r>
      <w:r w:rsidR="0066792A">
        <w:t>g</w:t>
      </w:r>
      <w:r w:rsidRPr="00AC4CE4">
        <w:t xml:space="preserve">overnance and </w:t>
      </w:r>
      <w:r w:rsidR="0066792A">
        <w:t>s</w:t>
      </w:r>
      <w:r w:rsidRPr="00AC4CE4">
        <w:t>ecurity sector</w:t>
      </w:r>
      <w:r w:rsidR="00016F13">
        <w:t>, which</w:t>
      </w:r>
      <w:r w:rsidR="008F7E72">
        <w:t xml:space="preserve"> </w:t>
      </w:r>
      <w:r w:rsidR="00682962">
        <w:t>wa</w:t>
      </w:r>
      <w:r w:rsidR="008F7E72">
        <w:t>s</w:t>
      </w:r>
      <w:r w:rsidR="001422EE" w:rsidRPr="00AC4CE4">
        <w:t xml:space="preserve"> driven by the </w:t>
      </w:r>
      <w:r w:rsidR="00682962" w:rsidRPr="00682962">
        <w:t xml:space="preserve">Covid-19 Economic Crisis and Recovery Development Policy Financing </w:t>
      </w:r>
      <w:r w:rsidR="001422EE" w:rsidRPr="00AC4CE4">
        <w:t>loan in 2020</w:t>
      </w:r>
      <w:r w:rsidR="00443E02" w:rsidRPr="00AC4CE4">
        <w:t>.</w:t>
      </w:r>
      <w:r w:rsidR="00C20134" w:rsidRPr="00AC4CE4">
        <w:t xml:space="preserve"> </w:t>
      </w:r>
      <w:r w:rsidR="00976110" w:rsidRPr="00AC4CE4">
        <w:t xml:space="preserve">Allocations to </w:t>
      </w:r>
      <w:r w:rsidR="00692765">
        <w:t>the sector</w:t>
      </w:r>
      <w:r w:rsidR="00976110" w:rsidRPr="00AC4CE4">
        <w:t xml:space="preserve"> increased significantly</w:t>
      </w:r>
      <w:r w:rsidR="00FE0C9F">
        <w:t>:</w:t>
      </w:r>
      <w:r w:rsidR="00976110" w:rsidRPr="00AC4CE4">
        <w:t xml:space="preserve"> by 1</w:t>
      </w:r>
      <w:r w:rsidR="00FE0C9F">
        <w:t>,</w:t>
      </w:r>
      <w:r w:rsidR="00976110" w:rsidRPr="00AC4CE4">
        <w:t xml:space="preserve">433% from </w:t>
      </w:r>
      <w:r w:rsidR="005D2AE5" w:rsidRPr="00AC4CE4">
        <w:t>2018 to 2019</w:t>
      </w:r>
      <w:r w:rsidR="00FE0C9F">
        <w:t>,</w:t>
      </w:r>
      <w:r w:rsidR="005D2AE5" w:rsidRPr="00AC4CE4">
        <w:t xml:space="preserve"> and by 450% from 2019 to 2020. </w:t>
      </w:r>
      <w:bookmarkEnd w:id="22"/>
    </w:p>
    <w:p w14:paraId="3C2AC04F" w14:textId="38DD7F9E" w:rsidR="004C56D3" w:rsidRDefault="00EE51F8" w:rsidP="004C56D3">
      <w:pPr>
        <w:pStyle w:val="FigureTitle"/>
        <w:rPr>
          <w:lang w:val="en-US"/>
        </w:rPr>
      </w:pPr>
      <w:r>
        <w:rPr>
          <w:lang w:val="en-US"/>
        </w:rPr>
        <w:t xml:space="preserve">Figure </w:t>
      </w:r>
      <w:r w:rsidR="00E7179F">
        <w:rPr>
          <w:lang w:val="en-US"/>
        </w:rPr>
        <w:t>4</w:t>
      </w:r>
      <w:r>
        <w:rPr>
          <w:lang w:val="en-US"/>
        </w:rPr>
        <w:t xml:space="preserve">: </w:t>
      </w:r>
      <w:r w:rsidR="004C56D3">
        <w:rPr>
          <w:lang w:val="en-US"/>
        </w:rPr>
        <w:t xml:space="preserve">Sector allocation of </w:t>
      </w:r>
      <w:r w:rsidR="005F70D8" w:rsidRPr="005F1C01">
        <w:rPr>
          <w:lang w:val="en-US"/>
        </w:rPr>
        <w:t>World Bank</w:t>
      </w:r>
      <w:r w:rsidR="004C56D3">
        <w:rPr>
          <w:lang w:val="en-US"/>
        </w:rPr>
        <w:t xml:space="preserve"> loans to Uganda</w:t>
      </w:r>
      <w:r w:rsidR="004029F6">
        <w:rPr>
          <w:lang w:val="en-US"/>
        </w:rPr>
        <w:t>,</w:t>
      </w:r>
      <w:r w:rsidR="00A01FD0">
        <w:rPr>
          <w:lang w:val="en-US"/>
        </w:rPr>
        <w:t xml:space="preserve"> </w:t>
      </w:r>
      <w:r w:rsidR="00706759">
        <w:rPr>
          <w:lang w:val="en-US"/>
        </w:rPr>
        <w:t xml:space="preserve">January </w:t>
      </w:r>
      <w:r w:rsidR="00A01FD0">
        <w:rPr>
          <w:lang w:val="en-US"/>
        </w:rPr>
        <w:t>2018 to June 2021</w:t>
      </w:r>
      <w:bookmarkStart w:id="23" w:name="Fig4"/>
      <w:bookmarkEnd w:id="23"/>
    </w:p>
    <w:p w14:paraId="67BE514A" w14:textId="4D4BC627" w:rsidR="004C56D3" w:rsidRDefault="005B72AE" w:rsidP="00402750">
      <w:pPr>
        <w:rPr>
          <w:lang w:val="en-US"/>
        </w:rPr>
      </w:pPr>
      <w:r>
        <w:rPr>
          <w:noProof/>
        </w:rPr>
        <w:drawing>
          <wp:inline distT="0" distB="0" distL="0" distR="0" wp14:anchorId="6EFDB416" wp14:editId="721C472B">
            <wp:extent cx="5162550" cy="2990850"/>
            <wp:effectExtent l="0" t="0" r="0" b="0"/>
            <wp:docPr id="8" name="Chart 8" descr="Figure 4: A stacked bar chart showing the sector focus of World Bank loans disbursed to Uganda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6089CD59-FD99-4E31-970A-167651490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8C7B20" w14:textId="7E4365D9" w:rsidR="004C56D3" w:rsidRDefault="004C56D3" w:rsidP="004C56D3">
      <w:pPr>
        <w:pStyle w:val="Source"/>
        <w:rPr>
          <w:lang w:val="en-US"/>
        </w:rPr>
      </w:pPr>
      <w:r>
        <w:rPr>
          <w:lang w:val="en-US"/>
        </w:rPr>
        <w:t>Source: Development Initiatives sectoral analysis of World Bank and African Development Bank commitments published through IATI. No sectoral breakdown is available for the International Monetary Fund.</w:t>
      </w:r>
      <w:r w:rsidR="00927B1F">
        <w:rPr>
          <w:lang w:val="en-US"/>
        </w:rPr>
        <w:t xml:space="preserve"> Other includes multisector allocations which could not be </w:t>
      </w:r>
      <w:r w:rsidR="00332D4C">
        <w:rPr>
          <w:lang w:val="en-US"/>
        </w:rPr>
        <w:t>uniquely disaggregated by sector</w:t>
      </w:r>
    </w:p>
    <w:p w14:paraId="56444637" w14:textId="522EC8D5" w:rsidR="008D766D" w:rsidRDefault="008D766D" w:rsidP="004C56D3">
      <w:pPr>
        <w:pStyle w:val="Source"/>
        <w:rPr>
          <w:lang w:val="en-US"/>
        </w:rPr>
      </w:pPr>
      <w:r>
        <w:rPr>
          <w:lang w:val="en-US"/>
        </w:rPr>
        <w:t xml:space="preserve">Note: </w:t>
      </w:r>
      <w:r w:rsidR="003C1218" w:rsidRPr="0055490D">
        <w:rPr>
          <w:rFonts w:cstheme="minorHAnsi"/>
          <w:lang w:val="en-US"/>
        </w:rPr>
        <w:t>Data for 2021</w:t>
      </w:r>
      <w:r w:rsidR="003C1218" w:rsidRPr="0055490D">
        <w:rPr>
          <w:lang w:val="en-US"/>
        </w:rPr>
        <w:t xml:space="preserve"> does not include all the loans that will be advanced this year</w:t>
      </w:r>
      <w:r w:rsidR="003C1218">
        <w:rPr>
          <w:lang w:val="en-US"/>
        </w:rPr>
        <w:t>: only l</w:t>
      </w:r>
      <w:r w:rsidR="003C1218" w:rsidRPr="0055490D">
        <w:rPr>
          <w:lang w:val="en-US"/>
        </w:rPr>
        <w:t xml:space="preserve">oans </w:t>
      </w:r>
      <w:r w:rsidR="003C1218">
        <w:rPr>
          <w:lang w:val="en-US"/>
        </w:rPr>
        <w:t>made up to and including</w:t>
      </w:r>
      <w:r w:rsidR="003C1218" w:rsidRPr="0055490D">
        <w:rPr>
          <w:lang w:val="en-US"/>
        </w:rPr>
        <w:t xml:space="preserve"> </w:t>
      </w:r>
      <w:r w:rsidR="003C1218">
        <w:rPr>
          <w:lang w:val="en-US"/>
        </w:rPr>
        <w:t>June</w:t>
      </w:r>
      <w:r w:rsidR="003C1218" w:rsidRPr="0055490D">
        <w:rPr>
          <w:lang w:val="en-US"/>
        </w:rPr>
        <w:t xml:space="preserve"> 2021</w:t>
      </w:r>
      <w:r w:rsidR="003C1218">
        <w:rPr>
          <w:lang w:val="en-US"/>
        </w:rPr>
        <w:t xml:space="preserve"> were counted. </w:t>
      </w:r>
    </w:p>
    <w:p w14:paraId="2D26719B" w14:textId="4AD95C8F" w:rsidR="00706759" w:rsidRPr="00FE6FCA" w:rsidRDefault="00706759" w:rsidP="00EC138E">
      <w:r w:rsidRPr="00AC4CE4">
        <w:t xml:space="preserve">The health sector, despite the pandemic, is among the </w:t>
      </w:r>
      <w:r>
        <w:t xml:space="preserve">sectors that are </w:t>
      </w:r>
      <w:r w:rsidRPr="00AC4CE4">
        <w:t xml:space="preserve">least targeted by the </w:t>
      </w:r>
      <w:r w:rsidRPr="005F1C01">
        <w:rPr>
          <w:lang w:val="en-US"/>
        </w:rPr>
        <w:t>World Bank</w:t>
      </w:r>
      <w:r>
        <w:rPr>
          <w:lang w:val="en-US"/>
        </w:rPr>
        <w:t xml:space="preserve">; </w:t>
      </w:r>
      <w:r w:rsidR="00011148">
        <w:rPr>
          <w:lang w:val="en-US"/>
        </w:rPr>
        <w:t>however</w:t>
      </w:r>
      <w:r>
        <w:rPr>
          <w:lang w:val="en-US"/>
        </w:rPr>
        <w:t>,</w:t>
      </w:r>
      <w:r w:rsidRPr="00AC4CE4">
        <w:t xml:space="preserve"> </w:t>
      </w:r>
      <w:r>
        <w:t xml:space="preserve">allocations to the sector increased by 20% from 2020 to June 2021. Moreover, </w:t>
      </w:r>
      <w:r w:rsidRPr="00AC4CE4">
        <w:t>a number of loans were multisectoral and incorporated health components</w:t>
      </w:r>
      <w:r>
        <w:t xml:space="preserve">: our assessment of project-level detail identifies health among the largest </w:t>
      </w:r>
      <w:r>
        <w:lastRenderedPageBreak/>
        <w:t xml:space="preserve">project activities, even in sectors other than health. </w:t>
      </w:r>
      <w:r w:rsidR="00EC138E" w:rsidRPr="00EC138E">
        <w:t>Separate analysis from Development Initiatives shows that, of aid flows reported to IATI</w:t>
      </w:r>
      <w:r w:rsidR="00EC138E">
        <w:t xml:space="preserve"> by a set of key</w:t>
      </w:r>
      <w:r w:rsidR="00EC138E" w:rsidRPr="00FE6FCA">
        <w:t xml:space="preserve"> bilateral donors</w:t>
      </w:r>
      <w:r w:rsidR="00EC138E" w:rsidRPr="00EC138E">
        <w:t xml:space="preserve">, the health sector in </w:t>
      </w:r>
      <w:hyperlink r:id="rId14" w:anchor="2f68e1bb" w:history="1">
        <w:r w:rsidR="00EC138E" w:rsidRPr="00011148">
          <w:rPr>
            <w:rStyle w:val="Hyperlink"/>
          </w:rPr>
          <w:t>Uganda has been the top recipient of health grant aid from bilateral donors</w:t>
        </w:r>
      </w:hyperlink>
      <w:r w:rsidR="00016F13">
        <w:t>.</w:t>
      </w:r>
      <w:r w:rsidR="00016F13">
        <w:rPr>
          <w:rStyle w:val="EndnoteReference"/>
        </w:rPr>
        <w:endnoteReference w:id="18"/>
      </w:r>
      <w:r>
        <w:t xml:space="preserve"> </w:t>
      </w:r>
    </w:p>
    <w:p w14:paraId="36E104FA" w14:textId="4EE72D6A" w:rsidR="00706759" w:rsidRDefault="00706759" w:rsidP="00706759">
      <w:pPr>
        <w:rPr>
          <w:lang w:val="en-US"/>
        </w:rPr>
      </w:pPr>
      <w:r>
        <w:rPr>
          <w:lang w:val="en-US"/>
        </w:rPr>
        <w:t xml:space="preserve">Between 2018 and 2021, </w:t>
      </w:r>
      <w:r w:rsidR="00FC17F9">
        <w:rPr>
          <w:lang w:val="en-US"/>
        </w:rPr>
        <w:t xml:space="preserve">the </w:t>
      </w:r>
      <w:r w:rsidRPr="005F1C01">
        <w:rPr>
          <w:lang w:val="en-US"/>
        </w:rPr>
        <w:t>World Bank</w:t>
      </w:r>
      <w:r w:rsidR="00FC17F9">
        <w:rPr>
          <w:lang w:val="en-US"/>
        </w:rPr>
        <w:t>’s</w:t>
      </w:r>
      <w:r>
        <w:rPr>
          <w:lang w:val="en-US"/>
        </w:rPr>
        <w:t xml:space="preserve"> loans to Uganda </w:t>
      </w:r>
      <w:proofErr w:type="spellStart"/>
      <w:r w:rsidR="003D644E">
        <w:rPr>
          <w:lang w:val="en-US"/>
        </w:rPr>
        <w:t>tota</w:t>
      </w:r>
      <w:r w:rsidR="00983D1C">
        <w:rPr>
          <w:lang w:val="en-US"/>
        </w:rPr>
        <w:t>l</w:t>
      </w:r>
      <w:r w:rsidR="003D644E">
        <w:rPr>
          <w:lang w:val="en-US"/>
        </w:rPr>
        <w:t>led</w:t>
      </w:r>
      <w:proofErr w:type="spellEnd"/>
      <w:r>
        <w:rPr>
          <w:lang w:val="en-US"/>
        </w:rPr>
        <w:t xml:space="preserve"> US$1.</w:t>
      </w:r>
      <w:r w:rsidR="00417561">
        <w:rPr>
          <w:lang w:val="en-US"/>
        </w:rPr>
        <w:t>4</w:t>
      </w:r>
      <w:r w:rsidR="00FC17F9">
        <w:rPr>
          <w:lang w:val="en-US"/>
        </w:rPr>
        <w:t xml:space="preserve"> </w:t>
      </w:r>
      <w:r>
        <w:rPr>
          <w:lang w:val="en-US"/>
        </w:rPr>
        <w:t>billion</w:t>
      </w:r>
      <w:r w:rsidR="008D766D">
        <w:rPr>
          <w:lang w:val="en-US"/>
        </w:rPr>
        <w:t xml:space="preserve"> </w:t>
      </w:r>
      <w:r>
        <w:rPr>
          <w:lang w:val="en-US"/>
        </w:rPr>
        <w:t>(US$19</w:t>
      </w:r>
      <w:r w:rsidR="00417561">
        <w:rPr>
          <w:lang w:val="en-US"/>
        </w:rPr>
        <w:t>6.8</w:t>
      </w:r>
      <w:r>
        <w:rPr>
          <w:lang w:val="en-US"/>
        </w:rPr>
        <w:t xml:space="preserve"> million in 2018; US$316</w:t>
      </w:r>
      <w:r w:rsidR="00417561">
        <w:rPr>
          <w:lang w:val="en-US"/>
        </w:rPr>
        <w:t>.5</w:t>
      </w:r>
      <w:r>
        <w:rPr>
          <w:lang w:val="en-US"/>
        </w:rPr>
        <w:t xml:space="preserve"> million in 2019; US$70</w:t>
      </w:r>
      <w:r w:rsidR="00EC098A">
        <w:rPr>
          <w:lang w:val="en-US"/>
        </w:rPr>
        <w:t>7.9</w:t>
      </w:r>
      <w:r>
        <w:rPr>
          <w:lang w:val="en-US"/>
        </w:rPr>
        <w:t xml:space="preserve"> million in 2020; and US$141</w:t>
      </w:r>
      <w:r w:rsidR="00EC098A">
        <w:rPr>
          <w:lang w:val="en-US"/>
        </w:rPr>
        <w:t>.4</w:t>
      </w:r>
      <w:r>
        <w:rPr>
          <w:lang w:val="en-US"/>
        </w:rPr>
        <w:t xml:space="preserve"> million by June 2021). The loans were allocated to 18</w:t>
      </w:r>
      <w:r w:rsidRPr="007134B8">
        <w:rPr>
          <w:color w:val="FF0000"/>
          <w:lang w:val="en-US"/>
        </w:rPr>
        <w:t xml:space="preserve"> </w:t>
      </w:r>
      <w:r w:rsidRPr="00862523">
        <w:rPr>
          <w:lang w:val="en-US"/>
        </w:rPr>
        <w:t>projects</w:t>
      </w:r>
      <w:r w:rsidR="005B0AC1">
        <w:rPr>
          <w:lang w:val="en-US"/>
        </w:rPr>
        <w:t xml:space="preserve">, across </w:t>
      </w:r>
      <w:r w:rsidR="00FE6FCA">
        <w:rPr>
          <w:lang w:val="en-US"/>
        </w:rPr>
        <w:t>10</w:t>
      </w:r>
      <w:r w:rsidR="005B0AC1">
        <w:rPr>
          <w:lang w:val="en-US"/>
        </w:rPr>
        <w:t xml:space="preserve"> sectors,</w:t>
      </w:r>
      <w:r w:rsidRPr="00862523">
        <w:rPr>
          <w:lang w:val="en-US"/>
        </w:rPr>
        <w:t xml:space="preserve"> </w:t>
      </w:r>
      <w:r w:rsidR="00FC17F9">
        <w:rPr>
          <w:lang w:val="en-US"/>
        </w:rPr>
        <w:t>over those years</w:t>
      </w:r>
      <w:r w:rsidRPr="00862523">
        <w:rPr>
          <w:lang w:val="en-US"/>
        </w:rPr>
        <w:t xml:space="preserve">. </w:t>
      </w:r>
      <w:r>
        <w:rPr>
          <w:lang w:val="en-US"/>
        </w:rPr>
        <w:t>The largest share, US$348</w:t>
      </w:r>
      <w:r w:rsidR="00EC098A">
        <w:rPr>
          <w:lang w:val="en-US"/>
        </w:rPr>
        <w:t>.2</w:t>
      </w:r>
      <w:r>
        <w:rPr>
          <w:lang w:val="en-US"/>
        </w:rPr>
        <w:t xml:space="preserve"> million (26% of the loans) went towards governance and security, followed by US$246</w:t>
      </w:r>
      <w:r w:rsidR="00EC098A">
        <w:rPr>
          <w:lang w:val="en-US"/>
        </w:rPr>
        <w:t>.3</w:t>
      </w:r>
      <w:r>
        <w:rPr>
          <w:lang w:val="en-US"/>
        </w:rPr>
        <w:t xml:space="preserve"> million </w:t>
      </w:r>
      <w:r w:rsidR="00FC17F9">
        <w:rPr>
          <w:lang w:val="en-US"/>
        </w:rPr>
        <w:t>(</w:t>
      </w:r>
      <w:r w:rsidR="001456C2">
        <w:rPr>
          <w:lang w:val="en-US"/>
        </w:rPr>
        <w:t>1</w:t>
      </w:r>
      <w:r>
        <w:rPr>
          <w:lang w:val="en-US"/>
        </w:rPr>
        <w:t>8%</w:t>
      </w:r>
      <w:r w:rsidR="00FC17F9">
        <w:rPr>
          <w:lang w:val="en-US"/>
        </w:rPr>
        <w:t>)</w:t>
      </w:r>
      <w:r>
        <w:rPr>
          <w:lang w:val="en-US"/>
        </w:rPr>
        <w:t xml:space="preserve"> to infrastructure. Education and other social services were allocated a combined US$22</w:t>
      </w:r>
      <w:r w:rsidR="00EC098A">
        <w:rPr>
          <w:lang w:val="en-US"/>
        </w:rPr>
        <w:t>8.3</w:t>
      </w:r>
      <w:r>
        <w:rPr>
          <w:lang w:val="en-US"/>
        </w:rPr>
        <w:t xml:space="preserve"> million </w:t>
      </w:r>
      <w:r w:rsidR="007B11D4">
        <w:rPr>
          <w:lang w:val="en-US"/>
        </w:rPr>
        <w:t>(</w:t>
      </w:r>
      <w:r>
        <w:rPr>
          <w:lang w:val="en-US"/>
        </w:rPr>
        <w:t>17%</w:t>
      </w:r>
      <w:r w:rsidR="007B11D4">
        <w:rPr>
          <w:lang w:val="en-US"/>
        </w:rPr>
        <w:t>)</w:t>
      </w:r>
      <w:r>
        <w:rPr>
          <w:lang w:val="en-US"/>
        </w:rPr>
        <w:t xml:space="preserve">, </w:t>
      </w:r>
      <w:r w:rsidR="001456C2">
        <w:rPr>
          <w:lang w:val="en-US"/>
        </w:rPr>
        <w:t xml:space="preserve">while </w:t>
      </w:r>
      <w:r>
        <w:rPr>
          <w:lang w:val="en-US"/>
        </w:rPr>
        <w:t>agriculture and food security</w:t>
      </w:r>
      <w:r w:rsidR="001456C2">
        <w:rPr>
          <w:lang w:val="en-US"/>
        </w:rPr>
        <w:t xml:space="preserve"> received</w:t>
      </w:r>
      <w:r>
        <w:rPr>
          <w:lang w:val="en-US"/>
        </w:rPr>
        <w:t xml:space="preserve"> US$124</w:t>
      </w:r>
      <w:r w:rsidR="00EC098A">
        <w:rPr>
          <w:lang w:val="en-US"/>
        </w:rPr>
        <w:t>.1</w:t>
      </w:r>
      <w:r>
        <w:rPr>
          <w:lang w:val="en-US"/>
        </w:rPr>
        <w:t xml:space="preserve"> </w:t>
      </w:r>
      <w:r w:rsidR="007B11D4">
        <w:rPr>
          <w:lang w:val="en-US"/>
        </w:rPr>
        <w:t>(</w:t>
      </w:r>
      <w:r>
        <w:rPr>
          <w:lang w:val="en-US"/>
        </w:rPr>
        <w:t>9%</w:t>
      </w:r>
      <w:r w:rsidR="007B11D4">
        <w:rPr>
          <w:lang w:val="en-US"/>
        </w:rPr>
        <w:t>)</w:t>
      </w:r>
      <w:r>
        <w:rPr>
          <w:lang w:val="en-US"/>
        </w:rPr>
        <w:t xml:space="preserve">. </w:t>
      </w:r>
      <w:r w:rsidR="007B11D4">
        <w:rPr>
          <w:lang w:val="en-US"/>
        </w:rPr>
        <w:t>During</w:t>
      </w:r>
      <w:r>
        <w:rPr>
          <w:lang w:val="en-US"/>
        </w:rPr>
        <w:t xml:space="preserve"> Covid-19, the health sector was among</w:t>
      </w:r>
      <w:r w:rsidR="008D766D">
        <w:rPr>
          <w:lang w:val="en-US"/>
        </w:rPr>
        <w:t xml:space="preserve"> the</w:t>
      </w:r>
      <w:r>
        <w:rPr>
          <w:lang w:val="en-US"/>
        </w:rPr>
        <w:t xml:space="preserve"> sectors that received the least priority with an allocation of US$</w:t>
      </w:r>
      <w:r w:rsidR="00EC098A">
        <w:rPr>
          <w:lang w:val="en-US"/>
        </w:rPr>
        <w:t xml:space="preserve">15.7 </w:t>
      </w:r>
      <w:r>
        <w:rPr>
          <w:lang w:val="en-US"/>
        </w:rPr>
        <w:t xml:space="preserve">million </w:t>
      </w:r>
      <w:r w:rsidR="007B11D4">
        <w:rPr>
          <w:lang w:val="en-US"/>
        </w:rPr>
        <w:t>(</w:t>
      </w:r>
      <w:r>
        <w:rPr>
          <w:lang w:val="en-US"/>
        </w:rPr>
        <w:t>1%</w:t>
      </w:r>
      <w:r w:rsidR="007B11D4">
        <w:rPr>
          <w:lang w:val="en-US"/>
        </w:rPr>
        <w:t>)</w:t>
      </w:r>
      <w:r>
        <w:rPr>
          <w:lang w:val="en-US"/>
        </w:rPr>
        <w:t xml:space="preserve">. </w:t>
      </w:r>
    </w:p>
    <w:p w14:paraId="55081080" w14:textId="6062B80A" w:rsidR="00E7385E" w:rsidRDefault="00C742DC" w:rsidP="009B6A81">
      <w:pPr>
        <w:pStyle w:val="Heading2"/>
        <w:rPr>
          <w:lang w:val="en-US"/>
        </w:rPr>
      </w:pPr>
      <w:bookmarkStart w:id="24" w:name="_Toc91097890"/>
      <w:r>
        <w:rPr>
          <w:lang w:val="en-US"/>
        </w:rPr>
        <w:t xml:space="preserve">Key projects funded by </w:t>
      </w:r>
      <w:r w:rsidR="00EA39B8">
        <w:rPr>
          <w:lang w:val="en-US"/>
        </w:rPr>
        <w:t>World Bank l</w:t>
      </w:r>
      <w:r>
        <w:rPr>
          <w:lang w:val="en-US"/>
        </w:rPr>
        <w:t>oans</w:t>
      </w:r>
      <w:bookmarkEnd w:id="24"/>
      <w:r w:rsidR="00E7385E" w:rsidRPr="00E7385E">
        <w:rPr>
          <w:lang w:val="en-US"/>
        </w:rPr>
        <w:t xml:space="preserve"> </w:t>
      </w:r>
    </w:p>
    <w:p w14:paraId="25159945" w14:textId="60715122" w:rsidR="009B6A81" w:rsidRDefault="00097E3E" w:rsidP="00E7385E">
      <w:pPr>
        <w:rPr>
          <w:lang w:val="en-US"/>
        </w:rPr>
      </w:pPr>
      <w:r>
        <w:rPr>
          <w:lang w:val="en-US"/>
        </w:rPr>
        <w:t>Between January 2018 and June 2021</w:t>
      </w:r>
      <w:r w:rsidR="00E7385E">
        <w:rPr>
          <w:lang w:val="en-US"/>
        </w:rPr>
        <w:t>, the</w:t>
      </w:r>
      <w:r>
        <w:rPr>
          <w:lang w:val="en-US"/>
        </w:rPr>
        <w:t xml:space="preserve"> project that received the most loan financing from the</w:t>
      </w:r>
      <w:r w:rsidR="00E7385E">
        <w:rPr>
          <w:lang w:val="en-US"/>
        </w:rPr>
        <w:t xml:space="preserve"> </w:t>
      </w:r>
      <w:r w:rsidR="00E7385E" w:rsidRPr="005F1C01">
        <w:rPr>
          <w:lang w:val="en-US"/>
        </w:rPr>
        <w:t>World Bank</w:t>
      </w:r>
      <w:r w:rsidR="00E7385E">
        <w:rPr>
          <w:lang w:val="en-US"/>
        </w:rPr>
        <w:t xml:space="preserve"> </w:t>
      </w:r>
      <w:r>
        <w:rPr>
          <w:lang w:val="en-US"/>
        </w:rPr>
        <w:t>was</w:t>
      </w:r>
      <w:r w:rsidR="00E40A6E">
        <w:rPr>
          <w:lang w:val="en-US"/>
        </w:rPr>
        <w:t xml:space="preserve"> the</w:t>
      </w:r>
      <w:r>
        <w:rPr>
          <w:lang w:val="en-US"/>
        </w:rPr>
        <w:t xml:space="preserve"> </w:t>
      </w:r>
      <w:r w:rsidR="00E7385E">
        <w:rPr>
          <w:lang w:val="en-US"/>
        </w:rPr>
        <w:t xml:space="preserve">Covid-19 </w:t>
      </w:r>
      <w:r w:rsidR="001456C2">
        <w:rPr>
          <w:lang w:val="en-US"/>
        </w:rPr>
        <w:t>E</w:t>
      </w:r>
      <w:r w:rsidR="00E7385E">
        <w:rPr>
          <w:lang w:val="en-US"/>
        </w:rPr>
        <w:t xml:space="preserve">conomic </w:t>
      </w:r>
      <w:r w:rsidR="001456C2">
        <w:rPr>
          <w:lang w:val="en-US"/>
        </w:rPr>
        <w:t>C</w:t>
      </w:r>
      <w:r w:rsidR="00E7385E">
        <w:rPr>
          <w:lang w:val="en-US"/>
        </w:rPr>
        <w:t xml:space="preserve">risis </w:t>
      </w:r>
      <w:r w:rsidR="001456C2">
        <w:rPr>
          <w:lang w:val="en-US"/>
        </w:rPr>
        <w:t>R</w:t>
      </w:r>
      <w:r w:rsidR="00E7385E">
        <w:rPr>
          <w:lang w:val="en-US"/>
        </w:rPr>
        <w:t xml:space="preserve">ecovery and </w:t>
      </w:r>
      <w:r w:rsidR="001456C2">
        <w:rPr>
          <w:lang w:val="en-US"/>
        </w:rPr>
        <w:t>D</w:t>
      </w:r>
      <w:r w:rsidR="00E7385E">
        <w:rPr>
          <w:lang w:val="en-US"/>
        </w:rPr>
        <w:t xml:space="preserve">evelopment </w:t>
      </w:r>
      <w:r w:rsidR="001456C2">
        <w:rPr>
          <w:lang w:val="en-US"/>
        </w:rPr>
        <w:t>P</w:t>
      </w:r>
      <w:r w:rsidR="00E7385E">
        <w:rPr>
          <w:lang w:val="en-US"/>
        </w:rPr>
        <w:t>olicy</w:t>
      </w:r>
      <w:r w:rsidR="00D473D0">
        <w:rPr>
          <w:lang w:val="en-US"/>
        </w:rPr>
        <w:t xml:space="preserve"> Financing</w:t>
      </w:r>
      <w:r w:rsidR="00205F29">
        <w:rPr>
          <w:lang w:val="en-US"/>
        </w:rPr>
        <w:t>,</w:t>
      </w:r>
      <w:r w:rsidR="00E7385E">
        <w:rPr>
          <w:rStyle w:val="EndnoteReference"/>
          <w:lang w:val="en-US"/>
        </w:rPr>
        <w:endnoteReference w:id="19"/>
      </w:r>
      <w:r w:rsidR="00E7385E">
        <w:rPr>
          <w:lang w:val="en-US"/>
        </w:rPr>
        <w:t xml:space="preserve"> which took US$304</w:t>
      </w:r>
      <w:r w:rsidR="005F0DA3">
        <w:rPr>
          <w:lang w:val="en-US"/>
        </w:rPr>
        <w:t>.1</w:t>
      </w:r>
      <w:r w:rsidR="00E7385E">
        <w:rPr>
          <w:lang w:val="en-US"/>
        </w:rPr>
        <w:t xml:space="preserve"> million </w:t>
      </w:r>
      <w:r w:rsidR="00205F29">
        <w:rPr>
          <w:lang w:val="en-US"/>
        </w:rPr>
        <w:t>(</w:t>
      </w:r>
      <w:r w:rsidR="00E7385E">
        <w:rPr>
          <w:lang w:val="en-US"/>
        </w:rPr>
        <w:t xml:space="preserve">22% of </w:t>
      </w:r>
      <w:r w:rsidR="00205F29">
        <w:rPr>
          <w:lang w:val="en-US"/>
        </w:rPr>
        <w:t xml:space="preserve">the </w:t>
      </w:r>
      <w:r w:rsidR="00E7385E">
        <w:rPr>
          <w:lang w:val="en-US"/>
        </w:rPr>
        <w:t xml:space="preserve">total funding from </w:t>
      </w:r>
      <w:r w:rsidR="00205F29">
        <w:rPr>
          <w:lang w:val="en-US"/>
        </w:rPr>
        <w:t xml:space="preserve">January </w:t>
      </w:r>
      <w:r w:rsidR="00E7385E">
        <w:rPr>
          <w:lang w:val="en-US"/>
        </w:rPr>
        <w:t>2018 to June 2021</w:t>
      </w:r>
      <w:r w:rsidR="00205F29">
        <w:rPr>
          <w:lang w:val="en-US"/>
        </w:rPr>
        <w:t>,</w:t>
      </w:r>
      <w:r w:rsidR="00E7385E">
        <w:rPr>
          <w:lang w:val="en-US"/>
        </w:rPr>
        <w:t xml:space="preserve"> and 100% of total loan disbursement</w:t>
      </w:r>
      <w:r w:rsidR="00400E6F">
        <w:rPr>
          <w:lang w:val="en-US"/>
        </w:rPr>
        <w:t>s</w:t>
      </w:r>
      <w:r w:rsidR="00E7385E">
        <w:rPr>
          <w:lang w:val="en-US"/>
        </w:rPr>
        <w:t xml:space="preserve"> for 2020</w:t>
      </w:r>
      <w:r w:rsidR="00205F29">
        <w:rPr>
          <w:lang w:val="en-US"/>
        </w:rPr>
        <w:t>)</w:t>
      </w:r>
      <w:r w:rsidR="00E7385E">
        <w:rPr>
          <w:lang w:val="en-US"/>
        </w:rPr>
        <w:t>.</w:t>
      </w:r>
    </w:p>
    <w:p w14:paraId="10F4B9BB" w14:textId="6C1215B6" w:rsidR="00A667F3" w:rsidRDefault="00A667F3" w:rsidP="00A667F3">
      <w:pPr>
        <w:pStyle w:val="FigureTitle"/>
        <w:rPr>
          <w:lang w:val="en-US"/>
        </w:rPr>
      </w:pPr>
      <w:r>
        <w:rPr>
          <w:lang w:val="en-US"/>
        </w:rPr>
        <w:t>Figure</w:t>
      </w:r>
      <w:r w:rsidR="00EE51F8">
        <w:rPr>
          <w:lang w:val="en-US"/>
        </w:rPr>
        <w:t xml:space="preserve"> </w:t>
      </w:r>
      <w:r w:rsidR="00E7179F">
        <w:rPr>
          <w:lang w:val="en-US"/>
        </w:rPr>
        <w:t>5</w:t>
      </w:r>
      <w:r>
        <w:rPr>
          <w:lang w:val="en-US"/>
        </w:rPr>
        <w:t xml:space="preserve">: </w:t>
      </w:r>
      <w:r w:rsidR="00400E6F">
        <w:rPr>
          <w:lang w:val="en-US"/>
        </w:rPr>
        <w:t>The f</w:t>
      </w:r>
      <w:r w:rsidR="00F473DA">
        <w:rPr>
          <w:lang w:val="en-US"/>
        </w:rPr>
        <w:t>ive highest-funded</w:t>
      </w:r>
      <w:r>
        <w:rPr>
          <w:lang w:val="en-US"/>
        </w:rPr>
        <w:t xml:space="preserve"> World Bank loan</w:t>
      </w:r>
      <w:r w:rsidR="00F473DA">
        <w:rPr>
          <w:lang w:val="en-US"/>
        </w:rPr>
        <w:t>-</w:t>
      </w:r>
      <w:r>
        <w:rPr>
          <w:lang w:val="en-US"/>
        </w:rPr>
        <w:t>financed projects</w:t>
      </w:r>
      <w:r w:rsidR="009B6A81">
        <w:rPr>
          <w:lang w:val="en-US"/>
        </w:rPr>
        <w:t>, January</w:t>
      </w:r>
      <w:r>
        <w:rPr>
          <w:lang w:val="en-US"/>
        </w:rPr>
        <w:t xml:space="preserve"> 2018</w:t>
      </w:r>
      <w:r w:rsidR="009B6A81">
        <w:rPr>
          <w:lang w:val="en-US"/>
        </w:rPr>
        <w:t xml:space="preserve"> to June </w:t>
      </w:r>
      <w:r>
        <w:rPr>
          <w:lang w:val="en-US"/>
        </w:rPr>
        <w:t>2021</w:t>
      </w:r>
    </w:p>
    <w:p w14:paraId="08A6F0FD" w14:textId="652336E1" w:rsidR="00A667F3" w:rsidRDefault="00D40E15" w:rsidP="00402750">
      <w:pPr>
        <w:rPr>
          <w:lang w:val="en-US"/>
        </w:rPr>
      </w:pPr>
      <w:r>
        <w:rPr>
          <w:noProof/>
        </w:rPr>
        <w:drawing>
          <wp:inline distT="0" distB="0" distL="0" distR="0" wp14:anchorId="391848CD" wp14:editId="226C3024">
            <wp:extent cx="5311942" cy="2075447"/>
            <wp:effectExtent l="0" t="0" r="3175" b="1270"/>
            <wp:docPr id="11" name="Chart 11" descr="Figure 5: A bar chart showing the top five projects funded by World Bank loans disbursed to Uganda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55AB2BFF-E2E6-413F-B7E8-7E74CE2FD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06ADA2" w14:textId="463B403C" w:rsidR="00564F40" w:rsidRDefault="00564F40" w:rsidP="00564F40">
      <w:pPr>
        <w:pStyle w:val="Source"/>
        <w:rPr>
          <w:lang w:val="en-US"/>
        </w:rPr>
      </w:pPr>
      <w:r>
        <w:rPr>
          <w:lang w:val="en-US"/>
        </w:rPr>
        <w:t>Source: Development Initiatives based on IATI and project documents from international financ</w:t>
      </w:r>
      <w:r w:rsidR="00B821D3">
        <w:rPr>
          <w:lang w:val="en-US"/>
        </w:rPr>
        <w:t>ial</w:t>
      </w:r>
      <w:r>
        <w:rPr>
          <w:lang w:val="en-US"/>
        </w:rPr>
        <w:t xml:space="preserve"> institution lenders.</w:t>
      </w:r>
    </w:p>
    <w:p w14:paraId="756F4316" w14:textId="3017F6B3" w:rsidR="00564F40" w:rsidRPr="0055490D" w:rsidRDefault="00564F40" w:rsidP="00564F40">
      <w:pPr>
        <w:pStyle w:val="Source"/>
        <w:rPr>
          <w:lang w:val="en-US"/>
        </w:rPr>
      </w:pPr>
      <w:r w:rsidRPr="0055490D">
        <w:rPr>
          <w:rFonts w:cstheme="minorHAnsi"/>
          <w:lang w:val="en-US"/>
        </w:rPr>
        <w:t xml:space="preserve">Note: </w:t>
      </w:r>
      <w:r w:rsidR="003C1218" w:rsidRPr="0055490D">
        <w:rPr>
          <w:rFonts w:cstheme="minorHAnsi"/>
          <w:lang w:val="en-US"/>
        </w:rPr>
        <w:t>Data for 2021</w:t>
      </w:r>
      <w:r w:rsidR="003C1218" w:rsidRPr="0055490D">
        <w:rPr>
          <w:lang w:val="en-US"/>
        </w:rPr>
        <w:t xml:space="preserve"> does not include all the loans that will be advanced this year</w:t>
      </w:r>
      <w:r w:rsidR="003C1218">
        <w:rPr>
          <w:lang w:val="en-US"/>
        </w:rPr>
        <w:t>: only l</w:t>
      </w:r>
      <w:r w:rsidR="003C1218" w:rsidRPr="0055490D">
        <w:rPr>
          <w:lang w:val="en-US"/>
        </w:rPr>
        <w:t xml:space="preserve">oans </w:t>
      </w:r>
      <w:r w:rsidR="003C1218">
        <w:rPr>
          <w:lang w:val="en-US"/>
        </w:rPr>
        <w:t>made up to and including</w:t>
      </w:r>
      <w:r w:rsidR="003C1218" w:rsidRPr="0055490D">
        <w:rPr>
          <w:lang w:val="en-US"/>
        </w:rPr>
        <w:t xml:space="preserve"> </w:t>
      </w:r>
      <w:r w:rsidR="003C1218">
        <w:rPr>
          <w:lang w:val="en-US"/>
        </w:rPr>
        <w:t>June</w:t>
      </w:r>
      <w:r w:rsidR="003C1218" w:rsidRPr="0055490D">
        <w:rPr>
          <w:lang w:val="en-US"/>
        </w:rPr>
        <w:t xml:space="preserve"> 2021</w:t>
      </w:r>
      <w:r w:rsidR="003C1218">
        <w:rPr>
          <w:lang w:val="en-US"/>
        </w:rPr>
        <w:t xml:space="preserve"> were counted. </w:t>
      </w:r>
    </w:p>
    <w:p w14:paraId="52300987" w14:textId="26745B82" w:rsidR="0042496E" w:rsidRDefault="0042496E" w:rsidP="0042496E">
      <w:pPr>
        <w:rPr>
          <w:lang w:val="en-US"/>
        </w:rPr>
      </w:pPr>
      <w:r>
        <w:rPr>
          <w:lang w:val="en-US"/>
        </w:rPr>
        <w:t>The</w:t>
      </w:r>
      <w:r w:rsidR="00E40A6E">
        <w:rPr>
          <w:lang w:val="en-US"/>
        </w:rPr>
        <w:t xml:space="preserve"> project that received the</w:t>
      </w:r>
      <w:r>
        <w:rPr>
          <w:lang w:val="en-US"/>
        </w:rPr>
        <w:t xml:space="preserve"> second</w:t>
      </w:r>
      <w:r w:rsidR="00E40A6E">
        <w:rPr>
          <w:lang w:val="en-US"/>
        </w:rPr>
        <w:t>-greatest amount of</w:t>
      </w:r>
      <w:r>
        <w:rPr>
          <w:lang w:val="en-US"/>
        </w:rPr>
        <w:t xml:space="preserve"> </w:t>
      </w:r>
      <w:r w:rsidR="005F70D8" w:rsidRPr="005F1C01">
        <w:rPr>
          <w:lang w:val="en-US"/>
        </w:rPr>
        <w:t>World Bank</w:t>
      </w:r>
      <w:r>
        <w:rPr>
          <w:lang w:val="en-US"/>
        </w:rPr>
        <w:t xml:space="preserve"> loan</w:t>
      </w:r>
      <w:r w:rsidR="00E40A6E">
        <w:rPr>
          <w:lang w:val="en-US"/>
        </w:rPr>
        <w:t>s</w:t>
      </w:r>
      <w:r>
        <w:rPr>
          <w:lang w:val="en-US"/>
        </w:rPr>
        <w:t xml:space="preserve"> </w:t>
      </w:r>
      <w:r w:rsidR="00A30B5E">
        <w:rPr>
          <w:lang w:val="en-US"/>
        </w:rPr>
        <w:t>wa</w:t>
      </w:r>
      <w:r>
        <w:rPr>
          <w:lang w:val="en-US"/>
        </w:rPr>
        <w:t xml:space="preserve">s </w:t>
      </w:r>
      <w:r w:rsidR="00E40A6E">
        <w:rPr>
          <w:lang w:val="en-US"/>
        </w:rPr>
        <w:t xml:space="preserve">the </w:t>
      </w:r>
      <w:r w:rsidRPr="009D513D">
        <w:rPr>
          <w:lang w:val="en-US"/>
        </w:rPr>
        <w:t>Intergovernmental Fiscal Transfers Program</w:t>
      </w:r>
      <w:r w:rsidR="00E40A6E">
        <w:rPr>
          <w:lang w:val="en-US"/>
        </w:rPr>
        <w:t>.</w:t>
      </w:r>
      <w:r>
        <w:rPr>
          <w:rStyle w:val="EndnoteReference"/>
          <w:lang w:val="en-US"/>
        </w:rPr>
        <w:endnoteReference w:id="20"/>
      </w:r>
      <w:r>
        <w:rPr>
          <w:lang w:val="en-US"/>
        </w:rPr>
        <w:t xml:space="preserve"> Funding for this project amounted to US$17</w:t>
      </w:r>
      <w:r w:rsidR="005F0DA3">
        <w:rPr>
          <w:lang w:val="en-US"/>
        </w:rPr>
        <w:t>6.5</w:t>
      </w:r>
      <w:r>
        <w:rPr>
          <w:lang w:val="en-US"/>
        </w:rPr>
        <w:t xml:space="preserve"> million </w:t>
      </w:r>
      <w:r w:rsidR="00E40A6E">
        <w:rPr>
          <w:lang w:val="en-US"/>
        </w:rPr>
        <w:t>(</w:t>
      </w:r>
      <w:r>
        <w:rPr>
          <w:lang w:val="en-US"/>
        </w:rPr>
        <w:t xml:space="preserve">13% of total </w:t>
      </w:r>
      <w:r w:rsidR="005F70D8" w:rsidRPr="005F1C01">
        <w:rPr>
          <w:lang w:val="en-US"/>
        </w:rPr>
        <w:t>World Bank</w:t>
      </w:r>
      <w:r>
        <w:rPr>
          <w:lang w:val="en-US"/>
        </w:rPr>
        <w:t xml:space="preserve"> loans during the period under review</w:t>
      </w:r>
      <w:r w:rsidR="00E40A6E">
        <w:rPr>
          <w:lang w:val="en-US"/>
        </w:rPr>
        <w:t>, and</w:t>
      </w:r>
      <w:r>
        <w:rPr>
          <w:lang w:val="en-US"/>
        </w:rPr>
        <w:t xml:space="preserve"> disbursed as US$70</w:t>
      </w:r>
      <w:r w:rsidR="005F0DA3">
        <w:rPr>
          <w:lang w:val="en-US"/>
        </w:rPr>
        <w:t>.3</w:t>
      </w:r>
      <w:r>
        <w:rPr>
          <w:lang w:val="en-US"/>
        </w:rPr>
        <w:t xml:space="preserve"> million </w:t>
      </w:r>
      <w:r w:rsidR="00A178DC">
        <w:rPr>
          <w:lang w:val="en-US"/>
        </w:rPr>
        <w:t>by June</w:t>
      </w:r>
      <w:r>
        <w:rPr>
          <w:lang w:val="en-US"/>
        </w:rPr>
        <w:t xml:space="preserve"> 2021, US$5</w:t>
      </w:r>
      <w:r w:rsidR="005F0DA3">
        <w:rPr>
          <w:lang w:val="en-US"/>
        </w:rPr>
        <w:t>5.7</w:t>
      </w:r>
      <w:r>
        <w:rPr>
          <w:lang w:val="en-US"/>
        </w:rPr>
        <w:t xml:space="preserve"> million in 2020 and US$50</w:t>
      </w:r>
      <w:r w:rsidR="005F0DA3">
        <w:rPr>
          <w:lang w:val="en-US"/>
        </w:rPr>
        <w:t>.5</w:t>
      </w:r>
      <w:r>
        <w:rPr>
          <w:lang w:val="en-US"/>
        </w:rPr>
        <w:t xml:space="preserve"> million </w:t>
      </w:r>
      <w:r>
        <w:rPr>
          <w:lang w:val="en-US"/>
        </w:rPr>
        <w:lastRenderedPageBreak/>
        <w:t>in 2019</w:t>
      </w:r>
      <w:r w:rsidR="00E40A6E">
        <w:rPr>
          <w:lang w:val="en-US"/>
        </w:rPr>
        <w:t>)</w:t>
      </w:r>
      <w:r>
        <w:rPr>
          <w:lang w:val="en-US"/>
        </w:rPr>
        <w:t xml:space="preserve">. The objective of the project is to </w:t>
      </w:r>
      <w:r w:rsidRPr="00852A9F">
        <w:rPr>
          <w:lang w:val="en-US"/>
        </w:rPr>
        <w:t>improv</w:t>
      </w:r>
      <w:r>
        <w:rPr>
          <w:lang w:val="en-US"/>
        </w:rPr>
        <w:t>e</w:t>
      </w:r>
      <w:r w:rsidRPr="00852A9F">
        <w:rPr>
          <w:lang w:val="en-US"/>
        </w:rPr>
        <w:t xml:space="preserve"> the adequacy and equity of fiscal transfers</w:t>
      </w:r>
      <w:r w:rsidR="00A30B5E">
        <w:rPr>
          <w:lang w:val="en-US"/>
        </w:rPr>
        <w:t>,</w:t>
      </w:r>
      <w:r w:rsidRPr="00852A9F">
        <w:rPr>
          <w:lang w:val="en-US"/>
        </w:rPr>
        <w:t xml:space="preserve"> and </w:t>
      </w:r>
      <w:r w:rsidR="00A30B5E">
        <w:rPr>
          <w:lang w:val="en-US"/>
        </w:rPr>
        <w:t xml:space="preserve">to </w:t>
      </w:r>
      <w:r w:rsidRPr="00852A9F">
        <w:rPr>
          <w:lang w:val="en-US"/>
        </w:rPr>
        <w:t xml:space="preserve">improve fiscal management of resources by </w:t>
      </w:r>
      <w:r w:rsidR="00E40A6E">
        <w:rPr>
          <w:lang w:val="en-US"/>
        </w:rPr>
        <w:t>l</w:t>
      </w:r>
      <w:r w:rsidRPr="00852A9F">
        <w:rPr>
          <w:lang w:val="en-US"/>
        </w:rPr>
        <w:t xml:space="preserve">ocal </w:t>
      </w:r>
      <w:r w:rsidR="00E40A6E">
        <w:rPr>
          <w:lang w:val="en-US"/>
        </w:rPr>
        <w:t>g</w:t>
      </w:r>
      <w:r w:rsidRPr="00852A9F">
        <w:rPr>
          <w:lang w:val="en-US"/>
        </w:rPr>
        <w:t>overnments for health and education services.</w:t>
      </w:r>
      <w:r>
        <w:rPr>
          <w:lang w:val="en-US"/>
        </w:rPr>
        <w:t xml:space="preserve"> According to the </w:t>
      </w:r>
      <w:r w:rsidR="004F08B7" w:rsidRPr="005F1C01">
        <w:rPr>
          <w:lang w:val="en-US"/>
        </w:rPr>
        <w:t>World Bank</w:t>
      </w:r>
      <w:r w:rsidR="00E40A6E">
        <w:rPr>
          <w:lang w:val="en-US"/>
        </w:rPr>
        <w:t>,</w:t>
      </w:r>
      <w:r>
        <w:rPr>
          <w:lang w:val="en-US"/>
        </w:rPr>
        <w:t xml:space="preserve"> this funding enables Uganda to </w:t>
      </w:r>
      <w:r w:rsidRPr="00852A9F">
        <w:rPr>
          <w:lang w:val="en-US"/>
        </w:rPr>
        <w:t xml:space="preserve">address the binding constraint of low and inequitable levels of funding for health and education at the local </w:t>
      </w:r>
      <w:r>
        <w:rPr>
          <w:lang w:val="en-US"/>
        </w:rPr>
        <w:t xml:space="preserve">government </w:t>
      </w:r>
      <w:r w:rsidRPr="00852A9F">
        <w:rPr>
          <w:lang w:val="en-US"/>
        </w:rPr>
        <w:t>leve</w:t>
      </w:r>
      <w:r>
        <w:rPr>
          <w:lang w:val="en-US"/>
        </w:rPr>
        <w:t>l.</w:t>
      </w:r>
    </w:p>
    <w:p w14:paraId="133443AA" w14:textId="301B1A7D" w:rsidR="0042496E" w:rsidRDefault="0042496E" w:rsidP="00402750">
      <w:pPr>
        <w:rPr>
          <w:lang w:val="en-US"/>
        </w:rPr>
      </w:pPr>
      <w:r>
        <w:rPr>
          <w:lang w:val="en-US"/>
        </w:rPr>
        <w:t>The third</w:t>
      </w:r>
      <w:r w:rsidR="00E40A6E">
        <w:rPr>
          <w:lang w:val="en-US"/>
        </w:rPr>
        <w:t>-</w:t>
      </w:r>
      <w:r>
        <w:rPr>
          <w:lang w:val="en-US"/>
        </w:rPr>
        <w:t xml:space="preserve">highest allocation of </w:t>
      </w:r>
      <w:r w:rsidR="004F08B7" w:rsidRPr="005F1C01">
        <w:rPr>
          <w:lang w:val="en-US"/>
        </w:rPr>
        <w:t>World Bank</w:t>
      </w:r>
      <w:r>
        <w:rPr>
          <w:lang w:val="en-US"/>
        </w:rPr>
        <w:t xml:space="preserve"> loans went to financing support </w:t>
      </w:r>
      <w:r w:rsidR="00A30B5E">
        <w:rPr>
          <w:lang w:val="en-US"/>
        </w:rPr>
        <w:t xml:space="preserve">for </w:t>
      </w:r>
      <w:r w:rsidR="00A178DC">
        <w:rPr>
          <w:lang w:val="en-US"/>
        </w:rPr>
        <w:t>the</w:t>
      </w:r>
      <w:r>
        <w:rPr>
          <w:lang w:val="en-US"/>
        </w:rPr>
        <w:t xml:space="preserve"> </w:t>
      </w:r>
      <w:r w:rsidR="00A178DC">
        <w:rPr>
          <w:lang w:val="en-US"/>
        </w:rPr>
        <w:t>M</w:t>
      </w:r>
      <w:r>
        <w:rPr>
          <w:lang w:val="en-US"/>
        </w:rPr>
        <w:t xml:space="preserve">unicipal </w:t>
      </w:r>
      <w:r w:rsidR="00A178DC">
        <w:rPr>
          <w:lang w:val="en-US"/>
        </w:rPr>
        <w:t>I</w:t>
      </w:r>
      <w:r>
        <w:rPr>
          <w:lang w:val="en-US"/>
        </w:rPr>
        <w:t xml:space="preserve">nfrastructure </w:t>
      </w:r>
      <w:r w:rsidR="00A178DC">
        <w:rPr>
          <w:lang w:val="en-US"/>
        </w:rPr>
        <w:t>D</w:t>
      </w:r>
      <w:r>
        <w:rPr>
          <w:lang w:val="en-US"/>
        </w:rPr>
        <w:t xml:space="preserve">evelopment </w:t>
      </w:r>
      <w:r w:rsidR="00A178DC">
        <w:rPr>
          <w:lang w:val="en-US"/>
        </w:rPr>
        <w:t>P</w:t>
      </w:r>
      <w:r>
        <w:rPr>
          <w:lang w:val="en-US"/>
        </w:rPr>
        <w:t>rogram</w:t>
      </w:r>
      <w:r w:rsidR="00E40A6E">
        <w:rPr>
          <w:lang w:val="en-US"/>
        </w:rPr>
        <w:t>.</w:t>
      </w:r>
      <w:r>
        <w:rPr>
          <w:rStyle w:val="EndnoteReference"/>
          <w:lang w:val="en-US"/>
        </w:rPr>
        <w:endnoteReference w:id="21"/>
      </w:r>
      <w:r>
        <w:rPr>
          <w:lang w:val="en-US"/>
        </w:rPr>
        <w:t xml:space="preserve"> This project received a total disbursement of US$1</w:t>
      </w:r>
      <w:r w:rsidR="005F0DA3">
        <w:rPr>
          <w:lang w:val="en-US"/>
        </w:rPr>
        <w:t>42.5</w:t>
      </w:r>
      <w:r>
        <w:rPr>
          <w:lang w:val="en-US"/>
        </w:rPr>
        <w:t xml:space="preserve"> million </w:t>
      </w:r>
      <w:r w:rsidR="00E40A6E">
        <w:rPr>
          <w:lang w:val="en-US"/>
        </w:rPr>
        <w:t>between January 2018 and June 2021</w:t>
      </w:r>
      <w:r>
        <w:rPr>
          <w:lang w:val="en-US"/>
        </w:rPr>
        <w:t>. US$</w:t>
      </w:r>
      <w:r w:rsidR="005F0DA3">
        <w:rPr>
          <w:lang w:val="en-US"/>
        </w:rPr>
        <w:t>82.6</w:t>
      </w:r>
      <w:r>
        <w:rPr>
          <w:lang w:val="en-US"/>
        </w:rPr>
        <w:t xml:space="preserve"> million was disbursed in 2020, US$</w:t>
      </w:r>
      <w:r w:rsidR="005F0DA3">
        <w:rPr>
          <w:lang w:val="en-US"/>
        </w:rPr>
        <w:t xml:space="preserve">57.7 </w:t>
      </w:r>
      <w:r>
        <w:rPr>
          <w:lang w:val="en-US"/>
        </w:rPr>
        <w:t xml:space="preserve">million in 2019 and US$2.2 million in 2018. No disbursement </w:t>
      </w:r>
      <w:r w:rsidR="00A178DC">
        <w:rPr>
          <w:lang w:val="en-US"/>
        </w:rPr>
        <w:t>had been made by June</w:t>
      </w:r>
      <w:r>
        <w:rPr>
          <w:lang w:val="en-US"/>
        </w:rPr>
        <w:t xml:space="preserve"> in 2021. The objective of this project is to enhance the institutional performance of local governments to improve urban service delivery. The </w:t>
      </w:r>
      <w:r w:rsidR="009F03A5">
        <w:rPr>
          <w:lang w:val="en-US"/>
        </w:rPr>
        <w:t>project</w:t>
      </w:r>
      <w:r>
        <w:rPr>
          <w:lang w:val="en-US"/>
        </w:rPr>
        <w:t xml:space="preserve"> is exclusively targeted at subnational governments across </w:t>
      </w:r>
      <w:r w:rsidR="0014435C">
        <w:rPr>
          <w:lang w:val="en-US"/>
        </w:rPr>
        <w:t>five</w:t>
      </w:r>
      <w:r>
        <w:rPr>
          <w:lang w:val="en-US"/>
        </w:rPr>
        <w:t xml:space="preserve"> themes </w:t>
      </w:r>
      <w:r w:rsidR="0014435C">
        <w:rPr>
          <w:lang w:val="en-US"/>
        </w:rPr>
        <w:t>(</w:t>
      </w:r>
      <w:r>
        <w:rPr>
          <w:lang w:val="en-US"/>
        </w:rPr>
        <w:t>finance; public sector management; social development and protection; urban and rural development; and environmental and natural resource management</w:t>
      </w:r>
      <w:r w:rsidR="0014435C">
        <w:rPr>
          <w:lang w:val="en-US"/>
        </w:rPr>
        <w:t>)</w:t>
      </w:r>
      <w:r>
        <w:rPr>
          <w:lang w:val="en-US"/>
        </w:rPr>
        <w:t xml:space="preserve">. </w:t>
      </w:r>
    </w:p>
    <w:p w14:paraId="33D84581" w14:textId="170F0896" w:rsidR="009959E6" w:rsidRDefault="00E356F3" w:rsidP="00E7385E">
      <w:pPr>
        <w:rPr>
          <w:lang w:val="en-US"/>
        </w:rPr>
      </w:pPr>
      <w:r>
        <w:rPr>
          <w:lang w:val="en-US"/>
        </w:rPr>
        <w:t xml:space="preserve">Other projects financed by </w:t>
      </w:r>
      <w:r w:rsidR="004F08B7" w:rsidRPr="005F1C01">
        <w:rPr>
          <w:lang w:val="en-US"/>
        </w:rPr>
        <w:t>World Bank</w:t>
      </w:r>
      <w:r>
        <w:rPr>
          <w:lang w:val="en-US"/>
        </w:rPr>
        <w:t xml:space="preserve"> loans </w:t>
      </w:r>
      <w:r w:rsidR="0014435C">
        <w:rPr>
          <w:lang w:val="en-US"/>
        </w:rPr>
        <w:t>between January 2018 and June 2021</w:t>
      </w:r>
      <w:r w:rsidR="00D07BB6">
        <w:rPr>
          <w:lang w:val="en-US"/>
        </w:rPr>
        <w:t xml:space="preserve"> </w:t>
      </w:r>
      <w:r>
        <w:rPr>
          <w:lang w:val="en-US"/>
        </w:rPr>
        <w:t xml:space="preserve">include the Agriculture Cluster Development Project </w:t>
      </w:r>
      <w:r w:rsidR="00D07BB6">
        <w:rPr>
          <w:lang w:val="en-US"/>
        </w:rPr>
        <w:t>(</w:t>
      </w:r>
      <w:r>
        <w:rPr>
          <w:lang w:val="en-US"/>
        </w:rPr>
        <w:t>allocated US$9</w:t>
      </w:r>
      <w:r w:rsidR="003716EE">
        <w:rPr>
          <w:lang w:val="en-US"/>
        </w:rPr>
        <w:t>7.7</w:t>
      </w:r>
      <w:r>
        <w:rPr>
          <w:lang w:val="en-US"/>
        </w:rPr>
        <w:t xml:space="preserve"> million</w:t>
      </w:r>
      <w:r w:rsidR="00D07BB6">
        <w:rPr>
          <w:lang w:val="en-US"/>
        </w:rPr>
        <w:t xml:space="preserve"> –</w:t>
      </w:r>
      <w:r>
        <w:rPr>
          <w:lang w:val="en-US"/>
        </w:rPr>
        <w:t xml:space="preserve"> 7% of total loans </w:t>
      </w:r>
      <w:r w:rsidR="00D07BB6">
        <w:rPr>
          <w:lang w:val="en-US"/>
        </w:rPr>
        <w:t xml:space="preserve">from the Bank to Uganda during </w:t>
      </w:r>
      <w:r>
        <w:rPr>
          <w:lang w:val="en-US"/>
        </w:rPr>
        <w:t>the period</w:t>
      </w:r>
      <w:r w:rsidR="00D07BB6">
        <w:rPr>
          <w:lang w:val="en-US"/>
        </w:rPr>
        <w:t>)</w:t>
      </w:r>
      <w:r>
        <w:rPr>
          <w:lang w:val="en-US"/>
        </w:rPr>
        <w:t xml:space="preserve">, followed by the </w:t>
      </w:r>
      <w:r w:rsidR="00B86E39">
        <w:rPr>
          <w:lang w:val="en-US"/>
        </w:rPr>
        <w:t xml:space="preserve">Third </w:t>
      </w:r>
      <w:r>
        <w:rPr>
          <w:lang w:val="en-US"/>
        </w:rPr>
        <w:t>Northern Uganda Social Action Fund</w:t>
      </w:r>
      <w:r w:rsidR="003716EE">
        <w:rPr>
          <w:lang w:val="en-US"/>
        </w:rPr>
        <w:t xml:space="preserve"> </w:t>
      </w:r>
      <w:r w:rsidR="00D07BB6">
        <w:rPr>
          <w:lang w:val="en-US"/>
        </w:rPr>
        <w:t>(</w:t>
      </w:r>
      <w:r>
        <w:rPr>
          <w:lang w:val="en-US"/>
        </w:rPr>
        <w:t>allocated US$9</w:t>
      </w:r>
      <w:r w:rsidR="003716EE">
        <w:rPr>
          <w:lang w:val="en-US"/>
        </w:rPr>
        <w:t>4.9</w:t>
      </w:r>
      <w:r>
        <w:rPr>
          <w:lang w:val="en-US"/>
        </w:rPr>
        <w:t xml:space="preserve"> million </w:t>
      </w:r>
      <w:r w:rsidR="00D07BB6">
        <w:rPr>
          <w:lang w:val="en-US"/>
        </w:rPr>
        <w:t>–</w:t>
      </w:r>
      <w:r>
        <w:rPr>
          <w:lang w:val="en-US"/>
        </w:rPr>
        <w:t xml:space="preserve"> 7%</w:t>
      </w:r>
      <w:r w:rsidR="00D07BB6">
        <w:rPr>
          <w:lang w:val="en-US"/>
        </w:rPr>
        <w:t>)</w:t>
      </w:r>
      <w:r>
        <w:rPr>
          <w:lang w:val="en-US"/>
        </w:rPr>
        <w:t xml:space="preserve"> and the Uganda </w:t>
      </w:r>
      <w:r w:rsidR="00D07BB6">
        <w:rPr>
          <w:lang w:val="en-US"/>
        </w:rPr>
        <w:t>R</w:t>
      </w:r>
      <w:r>
        <w:rPr>
          <w:lang w:val="en-US"/>
        </w:rPr>
        <w:t xml:space="preserve">eproductive, </w:t>
      </w:r>
      <w:r w:rsidR="00D07BB6">
        <w:rPr>
          <w:lang w:val="en-US"/>
        </w:rPr>
        <w:t>M</w:t>
      </w:r>
      <w:r>
        <w:rPr>
          <w:lang w:val="en-US"/>
        </w:rPr>
        <w:t xml:space="preserve">aternal and </w:t>
      </w:r>
      <w:r w:rsidR="00D07BB6">
        <w:rPr>
          <w:lang w:val="en-US"/>
        </w:rPr>
        <w:t>C</w:t>
      </w:r>
      <w:r>
        <w:rPr>
          <w:lang w:val="en-US"/>
        </w:rPr>
        <w:t xml:space="preserve">hild </w:t>
      </w:r>
      <w:r w:rsidR="00D07BB6">
        <w:rPr>
          <w:lang w:val="en-US"/>
        </w:rPr>
        <w:t>H</w:t>
      </w:r>
      <w:r>
        <w:rPr>
          <w:lang w:val="en-US"/>
        </w:rPr>
        <w:t xml:space="preserve">ealth </w:t>
      </w:r>
      <w:r w:rsidR="00D07BB6">
        <w:rPr>
          <w:lang w:val="en-US"/>
        </w:rPr>
        <w:t>S</w:t>
      </w:r>
      <w:r>
        <w:rPr>
          <w:lang w:val="en-US"/>
        </w:rPr>
        <w:t xml:space="preserve">ervices </w:t>
      </w:r>
      <w:r w:rsidR="00D07BB6">
        <w:rPr>
          <w:lang w:val="en-US"/>
        </w:rPr>
        <w:t>I</w:t>
      </w:r>
      <w:r>
        <w:rPr>
          <w:lang w:val="en-US"/>
        </w:rPr>
        <w:t xml:space="preserve">mprovement </w:t>
      </w:r>
      <w:r w:rsidR="00D07BB6">
        <w:rPr>
          <w:lang w:val="en-US"/>
        </w:rPr>
        <w:t>P</w:t>
      </w:r>
      <w:r>
        <w:rPr>
          <w:lang w:val="en-US"/>
        </w:rPr>
        <w:t xml:space="preserve">roject </w:t>
      </w:r>
      <w:r w:rsidR="00D07BB6">
        <w:rPr>
          <w:lang w:val="en-US"/>
        </w:rPr>
        <w:t>(</w:t>
      </w:r>
      <w:r>
        <w:rPr>
          <w:lang w:val="en-US"/>
        </w:rPr>
        <w:t>allocated US$8</w:t>
      </w:r>
      <w:r w:rsidR="003716EE">
        <w:rPr>
          <w:lang w:val="en-US"/>
        </w:rPr>
        <w:t>8.</w:t>
      </w:r>
      <w:r>
        <w:rPr>
          <w:lang w:val="en-US"/>
        </w:rPr>
        <w:t xml:space="preserve">9 million </w:t>
      </w:r>
      <w:r w:rsidR="00D07BB6">
        <w:rPr>
          <w:lang w:val="en-US"/>
        </w:rPr>
        <w:t xml:space="preserve">– </w:t>
      </w:r>
      <w:r>
        <w:rPr>
          <w:lang w:val="en-US"/>
        </w:rPr>
        <w:t>7%</w:t>
      </w:r>
      <w:r w:rsidR="00D07BB6">
        <w:rPr>
          <w:lang w:val="en-US"/>
        </w:rPr>
        <w:t>)</w:t>
      </w:r>
      <w:r>
        <w:rPr>
          <w:lang w:val="en-US"/>
        </w:rPr>
        <w:t xml:space="preserve">. Details of all other projects financed by </w:t>
      </w:r>
      <w:r w:rsidR="004F08B7" w:rsidRPr="005F1C01">
        <w:rPr>
          <w:lang w:val="en-US"/>
        </w:rPr>
        <w:t>World Bank</w:t>
      </w:r>
      <w:r>
        <w:rPr>
          <w:lang w:val="en-US"/>
        </w:rPr>
        <w:t xml:space="preserve"> loans are shown in </w:t>
      </w:r>
      <w:hyperlink w:anchor="TabA1" w:history="1">
        <w:r w:rsidR="00CC072D" w:rsidRPr="00A54339">
          <w:rPr>
            <w:rStyle w:val="Hyperlink"/>
            <w:lang w:val="en-US"/>
          </w:rPr>
          <w:t>Annex table A1</w:t>
        </w:r>
      </w:hyperlink>
      <w:r>
        <w:rPr>
          <w:lang w:val="en-US"/>
        </w:rPr>
        <w:t xml:space="preserve">. </w:t>
      </w:r>
    </w:p>
    <w:p w14:paraId="78A33476" w14:textId="6B5C36F5" w:rsidR="00E7385E" w:rsidRDefault="009959E6" w:rsidP="00C93132">
      <w:pPr>
        <w:pStyle w:val="Heading4"/>
        <w:rPr>
          <w:lang w:val="en-US"/>
        </w:rPr>
      </w:pPr>
      <w:r>
        <w:rPr>
          <w:lang w:val="en-US"/>
        </w:rPr>
        <w:t>2021 breakdown</w:t>
      </w:r>
    </w:p>
    <w:p w14:paraId="4F8B0337" w14:textId="3E18CA82" w:rsidR="00E7385E" w:rsidRDefault="00E7385E" w:rsidP="00E7385E">
      <w:pPr>
        <w:rPr>
          <w:lang w:val="en-US"/>
        </w:rPr>
      </w:pPr>
      <w:r>
        <w:rPr>
          <w:lang w:val="en-US"/>
        </w:rPr>
        <w:t>Between January and June 2021, the World Bank had disbursed a total of US$141</w:t>
      </w:r>
      <w:r w:rsidR="003716EE">
        <w:rPr>
          <w:lang w:val="en-US"/>
        </w:rPr>
        <w:t>.4</w:t>
      </w:r>
      <w:r>
        <w:rPr>
          <w:lang w:val="en-US"/>
        </w:rPr>
        <w:t xml:space="preserve"> million in loans; half of these funds (US$70.4 million) were allocated to </w:t>
      </w:r>
      <w:r w:rsidRPr="009D513D">
        <w:rPr>
          <w:lang w:val="en-US"/>
        </w:rPr>
        <w:t>Uganda</w:t>
      </w:r>
      <w:r>
        <w:rPr>
          <w:lang w:val="en-US"/>
        </w:rPr>
        <w:t>’s</w:t>
      </w:r>
      <w:r w:rsidRPr="009D513D">
        <w:rPr>
          <w:lang w:val="en-US"/>
        </w:rPr>
        <w:t xml:space="preserve"> Intergovernmental Fiscal Transfers Program</w:t>
      </w:r>
      <w:r>
        <w:rPr>
          <w:lang w:val="en-US"/>
        </w:rPr>
        <w:t>.</w:t>
      </w:r>
      <w:r>
        <w:rPr>
          <w:rStyle w:val="EndnoteReference"/>
          <w:lang w:val="en-US"/>
        </w:rPr>
        <w:endnoteReference w:id="22"/>
      </w:r>
      <w:r>
        <w:rPr>
          <w:lang w:val="en-US"/>
        </w:rPr>
        <w:t xml:space="preserve"> </w:t>
      </w:r>
    </w:p>
    <w:p w14:paraId="230732CB" w14:textId="581DC168" w:rsidR="00E7385E" w:rsidRDefault="00E7385E" w:rsidP="00E7385E">
      <w:pPr>
        <w:rPr>
          <w:lang w:val="en-US"/>
        </w:rPr>
      </w:pPr>
      <w:r>
        <w:rPr>
          <w:lang w:val="en-US"/>
        </w:rPr>
        <w:t xml:space="preserve">Other projects </w:t>
      </w:r>
      <w:r w:rsidR="00E951A0">
        <w:rPr>
          <w:lang w:val="en-US"/>
        </w:rPr>
        <w:t xml:space="preserve">funded by </w:t>
      </w:r>
      <w:r w:rsidRPr="005F1C01">
        <w:rPr>
          <w:lang w:val="en-US"/>
        </w:rPr>
        <w:t>World Bank</w:t>
      </w:r>
      <w:r>
        <w:rPr>
          <w:lang w:val="en-US"/>
        </w:rPr>
        <w:t xml:space="preserve"> loan disbursements between January and June 2021 </w:t>
      </w:r>
      <w:r w:rsidR="00E951A0">
        <w:rPr>
          <w:lang w:val="en-US"/>
        </w:rPr>
        <w:t xml:space="preserve">include </w:t>
      </w:r>
      <w:r>
        <w:rPr>
          <w:lang w:val="en-US"/>
        </w:rPr>
        <w:t xml:space="preserve">the </w:t>
      </w:r>
      <w:r w:rsidRPr="00E84C5E">
        <w:rPr>
          <w:lang w:val="en-US"/>
        </w:rPr>
        <w:t>Uganda Reproductive, Maternal and Child Health Services Improvement Project</w:t>
      </w:r>
      <w:r w:rsidR="00846D84">
        <w:rPr>
          <w:lang w:val="en-US"/>
        </w:rPr>
        <w:t>,</w:t>
      </w:r>
      <w:r>
        <w:rPr>
          <w:rStyle w:val="EndnoteReference"/>
        </w:rPr>
        <w:endnoteReference w:id="23"/>
      </w:r>
      <w:r>
        <w:rPr>
          <w:lang w:val="en-US"/>
        </w:rPr>
        <w:t xml:space="preserve"> the</w:t>
      </w:r>
      <w:r w:rsidRPr="00460411">
        <w:rPr>
          <w:lang w:val="en-US"/>
        </w:rPr>
        <w:t xml:space="preserve"> Albertine Region Sustainable Development Project</w:t>
      </w:r>
      <w:r w:rsidR="00E951A0">
        <w:rPr>
          <w:lang w:val="en-US"/>
        </w:rPr>
        <w:t>,</w:t>
      </w:r>
      <w:r>
        <w:rPr>
          <w:lang w:val="en-US"/>
        </w:rPr>
        <w:t xml:space="preserve"> </w:t>
      </w:r>
      <w:r w:rsidRPr="00460411">
        <w:rPr>
          <w:lang w:val="en-US"/>
        </w:rPr>
        <w:t>Uganda Grid Expansion and Reinforcement</w:t>
      </w:r>
      <w:r>
        <w:rPr>
          <w:lang w:val="en-US"/>
        </w:rPr>
        <w:t xml:space="preserve">, and the </w:t>
      </w:r>
      <w:r w:rsidRPr="00460411">
        <w:rPr>
          <w:lang w:val="en-US"/>
        </w:rPr>
        <w:t>Integrated Water Management and Development Project</w:t>
      </w:r>
      <w:r w:rsidR="00E951A0">
        <w:rPr>
          <w:lang w:val="en-US"/>
        </w:rPr>
        <w:t>.</w:t>
      </w:r>
      <w:r>
        <w:rPr>
          <w:lang w:val="en-US"/>
        </w:rPr>
        <w:t xml:space="preserve"> A complete list appears in </w:t>
      </w:r>
      <w:hyperlink w:anchor="_Annex" w:history="1">
        <w:r w:rsidRPr="00E7430A">
          <w:rPr>
            <w:rStyle w:val="Hyperlink"/>
            <w:lang w:val="en-US"/>
          </w:rPr>
          <w:t>Table A1 in the annex</w:t>
        </w:r>
      </w:hyperlink>
      <w:r>
        <w:rPr>
          <w:lang w:val="en-US"/>
        </w:rPr>
        <w:t xml:space="preserve">. </w:t>
      </w:r>
    </w:p>
    <w:p w14:paraId="5A3E6682" w14:textId="7382A980" w:rsidR="009959E6" w:rsidRDefault="009959E6" w:rsidP="00C93132">
      <w:pPr>
        <w:pStyle w:val="Heading4"/>
        <w:rPr>
          <w:lang w:val="en-US"/>
        </w:rPr>
      </w:pPr>
      <w:r>
        <w:rPr>
          <w:lang w:val="en-US"/>
        </w:rPr>
        <w:t>2020 breakdown</w:t>
      </w:r>
    </w:p>
    <w:p w14:paraId="6634591B" w14:textId="7642664E" w:rsidR="00E7385E" w:rsidRDefault="00E7385E" w:rsidP="00E7385E">
      <w:pPr>
        <w:rPr>
          <w:lang w:val="en-US"/>
        </w:rPr>
      </w:pPr>
      <w:r>
        <w:rPr>
          <w:lang w:val="en-US"/>
        </w:rPr>
        <w:t>The World Bank’s US$70</w:t>
      </w:r>
      <w:r w:rsidR="003716EE">
        <w:rPr>
          <w:lang w:val="en-US"/>
        </w:rPr>
        <w:t>7.9</w:t>
      </w:r>
      <w:r w:rsidR="00763DF2">
        <w:rPr>
          <w:lang w:val="en-US"/>
        </w:rPr>
        <w:t xml:space="preserve"> million</w:t>
      </w:r>
      <w:r>
        <w:rPr>
          <w:lang w:val="en-US"/>
        </w:rPr>
        <w:t xml:space="preserve"> loan in 2020 represents the largest loan disbursement to Uganda between January 2018 and June 2021 (equivalent to over half of the Bank</w:t>
      </w:r>
      <w:r w:rsidR="00763DF2">
        <w:rPr>
          <w:lang w:val="en-US"/>
        </w:rPr>
        <w:t>’</w:t>
      </w:r>
      <w:r>
        <w:rPr>
          <w:lang w:val="en-US"/>
        </w:rPr>
        <w:t>s total disbursement to Uganda in that period). Of this, US$304</w:t>
      </w:r>
      <w:r w:rsidR="003716EE">
        <w:rPr>
          <w:lang w:val="en-US"/>
        </w:rPr>
        <w:t>.1</w:t>
      </w:r>
      <w:r>
        <w:rPr>
          <w:lang w:val="en-US"/>
        </w:rPr>
        <w:t xml:space="preserve"> million (43%) went to </w:t>
      </w:r>
      <w:r w:rsidRPr="00A652E5">
        <w:rPr>
          <w:lang w:val="en-US"/>
        </w:rPr>
        <w:t>Uganda C</w:t>
      </w:r>
      <w:r>
        <w:rPr>
          <w:lang w:val="en-US"/>
        </w:rPr>
        <w:t>ovid</w:t>
      </w:r>
      <w:r w:rsidRPr="00A652E5">
        <w:rPr>
          <w:lang w:val="en-US"/>
        </w:rPr>
        <w:t>-19 Economic Crisis and Recovery Development Policy Financing</w:t>
      </w:r>
      <w:r>
        <w:rPr>
          <w:lang w:val="en-US"/>
        </w:rPr>
        <w:t xml:space="preserve">, the largest single-project allocation of </w:t>
      </w:r>
      <w:r w:rsidRPr="005F1C01">
        <w:rPr>
          <w:lang w:val="en-US"/>
        </w:rPr>
        <w:t>World Bank</w:t>
      </w:r>
      <w:r>
        <w:rPr>
          <w:lang w:val="en-US"/>
        </w:rPr>
        <w:t xml:space="preserve"> loans during the period under review. This project aimed to strengthen Uganda’s cris</w:t>
      </w:r>
      <w:r w:rsidR="00D473D0">
        <w:rPr>
          <w:lang w:val="en-US"/>
        </w:rPr>
        <w:t>i</w:t>
      </w:r>
      <w:r>
        <w:rPr>
          <w:lang w:val="en-US"/>
        </w:rPr>
        <w:t>s response, protect the most vulnerable, and support faster economic recovery and debt transparency.</w:t>
      </w:r>
      <w:r>
        <w:rPr>
          <w:rStyle w:val="EndnoteReference"/>
          <w:lang w:val="en-US"/>
        </w:rPr>
        <w:endnoteReference w:id="24"/>
      </w:r>
      <w:r>
        <w:rPr>
          <w:lang w:val="en-US"/>
        </w:rPr>
        <w:t xml:space="preserve"> </w:t>
      </w:r>
    </w:p>
    <w:p w14:paraId="014B45F7" w14:textId="288D6604" w:rsidR="00E7385E" w:rsidRDefault="00E7385E" w:rsidP="00E7385E">
      <w:pPr>
        <w:rPr>
          <w:lang w:val="en-US"/>
        </w:rPr>
      </w:pPr>
      <w:r>
        <w:rPr>
          <w:lang w:val="en-US"/>
        </w:rPr>
        <w:t xml:space="preserve">The second most financed project by the World Bank in 2020 was the </w:t>
      </w:r>
      <w:r w:rsidRPr="00460411">
        <w:rPr>
          <w:lang w:val="en-US"/>
        </w:rPr>
        <w:t>Uganda Support to Municipal Infrastructure Development Program</w:t>
      </w:r>
      <w:r>
        <w:rPr>
          <w:lang w:val="en-US"/>
        </w:rPr>
        <w:t xml:space="preserve">, </w:t>
      </w:r>
      <w:r w:rsidR="00D473D0">
        <w:rPr>
          <w:lang w:val="en-US"/>
        </w:rPr>
        <w:t xml:space="preserve">to </w:t>
      </w:r>
      <w:r>
        <w:rPr>
          <w:lang w:val="en-US"/>
        </w:rPr>
        <w:t>which US$</w:t>
      </w:r>
      <w:r w:rsidR="003716EE">
        <w:rPr>
          <w:lang w:val="en-US"/>
        </w:rPr>
        <w:t xml:space="preserve">82.6 </w:t>
      </w:r>
      <w:r>
        <w:rPr>
          <w:lang w:val="en-US"/>
        </w:rPr>
        <w:t>million of loans</w:t>
      </w:r>
      <w:r w:rsidR="00D473D0">
        <w:rPr>
          <w:lang w:val="en-US"/>
        </w:rPr>
        <w:t xml:space="preserve"> was </w:t>
      </w:r>
      <w:r w:rsidR="00D473D0">
        <w:rPr>
          <w:lang w:val="en-US"/>
        </w:rPr>
        <w:lastRenderedPageBreak/>
        <w:t>disbursed</w:t>
      </w:r>
      <w:r>
        <w:rPr>
          <w:lang w:val="en-US"/>
        </w:rPr>
        <w:t xml:space="preserve"> (12% of the</w:t>
      </w:r>
      <w:r w:rsidRPr="005F1C01">
        <w:rPr>
          <w:lang w:val="en-US"/>
        </w:rPr>
        <w:t xml:space="preserve"> Ban</w:t>
      </w:r>
      <w:r>
        <w:rPr>
          <w:lang w:val="en-US"/>
        </w:rPr>
        <w:t xml:space="preserve">k’s loans to Uganda </w:t>
      </w:r>
      <w:r w:rsidR="00D473D0">
        <w:rPr>
          <w:lang w:val="en-US"/>
        </w:rPr>
        <w:t>that year</w:t>
      </w:r>
      <w:r>
        <w:rPr>
          <w:lang w:val="en-US"/>
        </w:rPr>
        <w:t xml:space="preserve">). This was followed by the </w:t>
      </w:r>
      <w:r w:rsidRPr="00460411">
        <w:rPr>
          <w:lang w:val="en-US"/>
        </w:rPr>
        <w:t>Agriculture Cluster Development Project</w:t>
      </w:r>
      <w:r>
        <w:rPr>
          <w:lang w:val="en-US"/>
        </w:rPr>
        <w:t>, which was allocated US$70</w:t>
      </w:r>
      <w:r w:rsidR="003716EE">
        <w:rPr>
          <w:lang w:val="en-US"/>
        </w:rPr>
        <w:t>.4</w:t>
      </w:r>
      <w:r>
        <w:rPr>
          <w:lang w:val="en-US"/>
        </w:rPr>
        <w:t xml:space="preserve"> million (10%), followed by the </w:t>
      </w:r>
      <w:r w:rsidRPr="00460411">
        <w:rPr>
          <w:lang w:val="en-US"/>
        </w:rPr>
        <w:t>Uganda Intergovernmental Fiscal Transfers Program</w:t>
      </w:r>
      <w:r w:rsidR="009C3673">
        <w:rPr>
          <w:lang w:val="en-US"/>
        </w:rPr>
        <w:t>,</w:t>
      </w:r>
      <w:r>
        <w:rPr>
          <w:lang w:val="en-US"/>
        </w:rPr>
        <w:t xml:space="preserve"> allocated US$5</w:t>
      </w:r>
      <w:r w:rsidR="003716EE">
        <w:rPr>
          <w:lang w:val="en-US"/>
        </w:rPr>
        <w:t>5.7</w:t>
      </w:r>
      <w:r>
        <w:rPr>
          <w:lang w:val="en-US"/>
        </w:rPr>
        <w:t xml:space="preserve"> million (8%) and the </w:t>
      </w:r>
      <w:r w:rsidRPr="00C02F39">
        <w:rPr>
          <w:lang w:val="en-US"/>
        </w:rPr>
        <w:t>Uganda Reproductive, Maternal and Child Health Services Improvement Project</w:t>
      </w:r>
      <w:r w:rsidR="009C3673">
        <w:rPr>
          <w:lang w:val="en-US"/>
        </w:rPr>
        <w:t>,</w:t>
      </w:r>
      <w:r>
        <w:rPr>
          <w:lang w:val="en-US"/>
        </w:rPr>
        <w:t xml:space="preserve"> allocated US$37</w:t>
      </w:r>
      <w:r w:rsidR="003716EE">
        <w:rPr>
          <w:lang w:val="en-US"/>
        </w:rPr>
        <w:t>.2</w:t>
      </w:r>
      <w:r>
        <w:rPr>
          <w:lang w:val="en-US"/>
        </w:rPr>
        <w:t xml:space="preserve"> million (5%). The rest of the nine </w:t>
      </w:r>
      <w:r w:rsidRPr="005F1C01">
        <w:rPr>
          <w:lang w:val="en-US"/>
        </w:rPr>
        <w:t>World Bank</w:t>
      </w:r>
      <w:r>
        <w:rPr>
          <w:lang w:val="en-US"/>
        </w:rPr>
        <w:t xml:space="preserve"> loan projects funded in 2020 received a combined total of US$15</w:t>
      </w:r>
      <w:r w:rsidR="003A5B0C">
        <w:rPr>
          <w:lang w:val="en-US"/>
        </w:rPr>
        <w:t>7.</w:t>
      </w:r>
      <w:r>
        <w:rPr>
          <w:lang w:val="en-US"/>
        </w:rPr>
        <w:t xml:space="preserve">8 million (22% of total </w:t>
      </w:r>
      <w:r w:rsidRPr="005F1C01">
        <w:rPr>
          <w:lang w:val="en-US"/>
        </w:rPr>
        <w:t>World Bank</w:t>
      </w:r>
      <w:r>
        <w:rPr>
          <w:lang w:val="en-US"/>
        </w:rPr>
        <w:t xml:space="preserve"> loans disbursed </w:t>
      </w:r>
      <w:r w:rsidR="009C3673">
        <w:rPr>
          <w:lang w:val="en-US"/>
        </w:rPr>
        <w:t>that year</w:t>
      </w:r>
      <w:r>
        <w:rPr>
          <w:lang w:val="en-US"/>
        </w:rPr>
        <w:t>).</w:t>
      </w:r>
    </w:p>
    <w:p w14:paraId="2DBC275A" w14:textId="58DFE5B4" w:rsidR="009959E6" w:rsidRDefault="009959E6" w:rsidP="00C93132">
      <w:pPr>
        <w:pStyle w:val="Heading4"/>
        <w:rPr>
          <w:lang w:val="en-US"/>
        </w:rPr>
      </w:pPr>
      <w:r>
        <w:rPr>
          <w:lang w:val="en-US"/>
        </w:rPr>
        <w:t>2019 breakdown</w:t>
      </w:r>
    </w:p>
    <w:p w14:paraId="3FC7D073" w14:textId="706AF41C" w:rsidR="00E7385E" w:rsidRDefault="00E7385E" w:rsidP="00E7385E">
      <w:pPr>
        <w:rPr>
          <w:lang w:val="en-US"/>
        </w:rPr>
      </w:pPr>
      <w:r>
        <w:rPr>
          <w:lang w:val="en-US"/>
        </w:rPr>
        <w:t xml:space="preserve">In 2019 the </w:t>
      </w:r>
      <w:r w:rsidRPr="005F1C01">
        <w:rPr>
          <w:lang w:val="en-US"/>
        </w:rPr>
        <w:t>World Bank</w:t>
      </w:r>
      <w:r>
        <w:rPr>
          <w:lang w:val="en-US"/>
        </w:rPr>
        <w:t xml:space="preserve"> disbursed to Uganda a total of US$317</w:t>
      </w:r>
      <w:r w:rsidR="003A5B0C">
        <w:rPr>
          <w:lang w:val="en-US"/>
        </w:rPr>
        <w:t>.2</w:t>
      </w:r>
      <w:r>
        <w:rPr>
          <w:lang w:val="en-US"/>
        </w:rPr>
        <w:t xml:space="preserve"> million in loans, this was spread across 14 projects. More than 60% of the disbursements in 2019 went </w:t>
      </w:r>
      <w:r w:rsidR="009C3673">
        <w:rPr>
          <w:lang w:val="en-US"/>
        </w:rPr>
        <w:t xml:space="preserve">to </w:t>
      </w:r>
      <w:r>
        <w:rPr>
          <w:lang w:val="en-US"/>
        </w:rPr>
        <w:t>financing four projects</w:t>
      </w:r>
      <w:r w:rsidR="009C3673">
        <w:rPr>
          <w:lang w:val="en-US"/>
        </w:rPr>
        <w:t>,</w:t>
      </w:r>
      <w:r>
        <w:rPr>
          <w:lang w:val="en-US"/>
        </w:rPr>
        <w:t xml:space="preserve"> with the largest allocation of US$57.7 million (18% of the total disbursement) going to the </w:t>
      </w:r>
      <w:r w:rsidRPr="00E80609">
        <w:rPr>
          <w:lang w:val="en-US"/>
        </w:rPr>
        <w:t>Uganda Support to Municipal Infrastructure Development Program</w:t>
      </w:r>
      <w:r w:rsidR="009C3673">
        <w:rPr>
          <w:lang w:val="en-US"/>
        </w:rPr>
        <w:t>. This was</w:t>
      </w:r>
      <w:r>
        <w:rPr>
          <w:lang w:val="en-US"/>
        </w:rPr>
        <w:t xml:space="preserve"> followed by US$50.5 million (1</w:t>
      </w:r>
      <w:r w:rsidR="003A5B0C">
        <w:rPr>
          <w:lang w:val="en-US"/>
        </w:rPr>
        <w:t>6</w:t>
      </w:r>
      <w:r>
        <w:rPr>
          <w:lang w:val="en-US"/>
        </w:rPr>
        <w:t xml:space="preserve">%) to the </w:t>
      </w:r>
      <w:r w:rsidRPr="00E80609">
        <w:rPr>
          <w:lang w:val="en-US"/>
        </w:rPr>
        <w:t>Uganda Intergovernmental Fiscal Transfers Program</w:t>
      </w:r>
      <w:r>
        <w:rPr>
          <w:lang w:val="en-US"/>
        </w:rPr>
        <w:t>. US$46.8 million (1</w:t>
      </w:r>
      <w:r w:rsidR="003A5B0C">
        <w:rPr>
          <w:lang w:val="en-US"/>
        </w:rPr>
        <w:t>5</w:t>
      </w:r>
      <w:r>
        <w:rPr>
          <w:lang w:val="en-US"/>
        </w:rPr>
        <w:t xml:space="preserve">%) went to the </w:t>
      </w:r>
      <w:r w:rsidRPr="00E80609">
        <w:rPr>
          <w:lang w:val="en-US"/>
        </w:rPr>
        <w:t>Third Northern Uganda Social Action Fund</w:t>
      </w:r>
      <w:r>
        <w:rPr>
          <w:lang w:val="en-US"/>
        </w:rPr>
        <w:t xml:space="preserve">, </w:t>
      </w:r>
      <w:r w:rsidR="009C3673">
        <w:rPr>
          <w:lang w:val="en-US"/>
        </w:rPr>
        <w:t xml:space="preserve">and </w:t>
      </w:r>
      <w:r>
        <w:rPr>
          <w:lang w:val="en-US"/>
        </w:rPr>
        <w:t xml:space="preserve">US$36.7 million </w:t>
      </w:r>
      <w:r w:rsidR="009C3673">
        <w:rPr>
          <w:lang w:val="en-US"/>
        </w:rPr>
        <w:t xml:space="preserve">went </w:t>
      </w:r>
      <w:r>
        <w:rPr>
          <w:lang w:val="en-US"/>
        </w:rPr>
        <w:t>to</w:t>
      </w:r>
      <w:r w:rsidR="009C3673">
        <w:rPr>
          <w:lang w:val="en-US"/>
        </w:rPr>
        <w:t xml:space="preserve"> the</w:t>
      </w:r>
      <w:r>
        <w:rPr>
          <w:lang w:val="en-US"/>
        </w:rPr>
        <w:t xml:space="preserve"> </w:t>
      </w:r>
      <w:r w:rsidRPr="00E80609">
        <w:rPr>
          <w:lang w:val="en-US"/>
        </w:rPr>
        <w:t>Energy for Rural Transformation III</w:t>
      </w:r>
      <w:r>
        <w:rPr>
          <w:lang w:val="en-US"/>
        </w:rPr>
        <w:t xml:space="preserve"> project. The rest of the 10 projects funded in 2019 were allocated a combined total of US$125.6 million (</w:t>
      </w:r>
      <w:r w:rsidR="003A5B0C">
        <w:rPr>
          <w:lang w:val="en-US"/>
        </w:rPr>
        <w:t>40</w:t>
      </w:r>
      <w:r>
        <w:rPr>
          <w:lang w:val="en-US"/>
        </w:rPr>
        <w:t>% of the disbursed loans).</w:t>
      </w:r>
    </w:p>
    <w:p w14:paraId="01558B19" w14:textId="666F8D1A" w:rsidR="009959E6" w:rsidRDefault="009959E6" w:rsidP="00C93132">
      <w:pPr>
        <w:pStyle w:val="Heading4"/>
        <w:rPr>
          <w:lang w:val="en-US"/>
        </w:rPr>
      </w:pPr>
      <w:r>
        <w:rPr>
          <w:lang w:val="en-US"/>
        </w:rPr>
        <w:t>2018 breakdown</w:t>
      </w:r>
    </w:p>
    <w:p w14:paraId="6B54CBB4" w14:textId="1F840537" w:rsidR="0021199C" w:rsidRDefault="00E7385E" w:rsidP="00402750">
      <w:pPr>
        <w:rPr>
          <w:lang w:val="en-US"/>
        </w:rPr>
      </w:pPr>
      <w:r>
        <w:rPr>
          <w:lang w:val="en-US"/>
        </w:rPr>
        <w:t>In 2018</w:t>
      </w:r>
      <w:r w:rsidR="009C3673">
        <w:rPr>
          <w:lang w:val="en-US"/>
        </w:rPr>
        <w:t>,</w:t>
      </w:r>
      <w:r>
        <w:rPr>
          <w:lang w:val="en-US"/>
        </w:rPr>
        <w:t xml:space="preserve"> the </w:t>
      </w:r>
      <w:r w:rsidRPr="005F1C01">
        <w:rPr>
          <w:lang w:val="en-US"/>
        </w:rPr>
        <w:t>World Bank</w:t>
      </w:r>
      <w:r>
        <w:rPr>
          <w:lang w:val="en-US"/>
        </w:rPr>
        <w:t xml:space="preserve"> disbursed a total of US$197.1 million in loans</w:t>
      </w:r>
      <w:r w:rsidR="009959E6">
        <w:rPr>
          <w:lang w:val="en-US"/>
        </w:rPr>
        <w:t xml:space="preserve"> </w:t>
      </w:r>
      <w:r w:rsidR="009C3673">
        <w:rPr>
          <w:lang w:val="en-US"/>
        </w:rPr>
        <w:t>to</w:t>
      </w:r>
      <w:r w:rsidR="009959E6">
        <w:rPr>
          <w:lang w:val="en-US"/>
        </w:rPr>
        <w:t xml:space="preserve"> Uganda,</w:t>
      </w:r>
      <w:r>
        <w:rPr>
          <w:lang w:val="en-US"/>
        </w:rPr>
        <w:t xml:space="preserve"> which was allocated to 13 projects. The </w:t>
      </w:r>
      <w:r w:rsidRPr="00B86080">
        <w:rPr>
          <w:lang w:val="en-US"/>
        </w:rPr>
        <w:t>Water Management and Development Project</w:t>
      </w:r>
      <w:r>
        <w:rPr>
          <w:lang w:val="en-US"/>
        </w:rPr>
        <w:t xml:space="preserve"> received the largest allocation of US$38.</w:t>
      </w:r>
      <w:r w:rsidR="00BA7BBD">
        <w:rPr>
          <w:lang w:val="en-US"/>
        </w:rPr>
        <w:t>9</w:t>
      </w:r>
      <w:r>
        <w:rPr>
          <w:lang w:val="en-US"/>
        </w:rPr>
        <w:t xml:space="preserve"> million (</w:t>
      </w:r>
      <w:r w:rsidR="00BA7BBD">
        <w:rPr>
          <w:lang w:val="en-US"/>
        </w:rPr>
        <w:t>20</w:t>
      </w:r>
      <w:r>
        <w:rPr>
          <w:lang w:val="en-US"/>
        </w:rPr>
        <w:t xml:space="preserve">% of the total disbursement) followed by the </w:t>
      </w:r>
      <w:r w:rsidRPr="00B86080">
        <w:rPr>
          <w:lang w:val="en-US"/>
        </w:rPr>
        <w:t>Third Northern Uganda Social Action Fund</w:t>
      </w:r>
      <w:r>
        <w:rPr>
          <w:lang w:val="en-US"/>
        </w:rPr>
        <w:t>,</w:t>
      </w:r>
      <w:r w:rsidRPr="00B86080">
        <w:rPr>
          <w:lang w:val="en-US"/>
        </w:rPr>
        <w:t xml:space="preserve"> </w:t>
      </w:r>
      <w:r>
        <w:rPr>
          <w:lang w:val="en-US"/>
        </w:rPr>
        <w:t xml:space="preserve">which was allocated US$34.8 million or </w:t>
      </w:r>
      <w:r w:rsidR="00BA7BBD">
        <w:rPr>
          <w:lang w:val="en-US"/>
        </w:rPr>
        <w:t>18</w:t>
      </w:r>
      <w:r>
        <w:rPr>
          <w:lang w:val="en-US"/>
        </w:rPr>
        <w:t xml:space="preserve">%, followed by the Uganda </w:t>
      </w:r>
      <w:r w:rsidRPr="00B86080">
        <w:rPr>
          <w:lang w:val="en-US"/>
        </w:rPr>
        <w:t>North Eastern Road-corridor Asset Management Project</w:t>
      </w:r>
      <w:r w:rsidR="009A2E6F">
        <w:rPr>
          <w:lang w:val="en-US"/>
        </w:rPr>
        <w:t>,</w:t>
      </w:r>
      <w:r>
        <w:rPr>
          <w:lang w:val="en-US"/>
        </w:rPr>
        <w:t xml:space="preserve"> allocated US$27.6 million or 14%. The </w:t>
      </w:r>
      <w:r w:rsidRPr="00B86080">
        <w:rPr>
          <w:lang w:val="en-US"/>
        </w:rPr>
        <w:t xml:space="preserve">Competitiveness and Enterprise Development Project </w:t>
      </w:r>
      <w:r>
        <w:rPr>
          <w:lang w:val="en-US"/>
        </w:rPr>
        <w:t>received US$22.8 million (</w:t>
      </w:r>
      <w:r w:rsidR="00BA7BBD">
        <w:rPr>
          <w:lang w:val="en-US"/>
        </w:rPr>
        <w:t>12</w:t>
      </w:r>
      <w:r>
        <w:rPr>
          <w:lang w:val="en-US"/>
        </w:rPr>
        <w:t xml:space="preserve">%) of total </w:t>
      </w:r>
      <w:r w:rsidR="009A2E6F">
        <w:rPr>
          <w:lang w:val="en-US"/>
        </w:rPr>
        <w:t xml:space="preserve">the </w:t>
      </w:r>
      <w:r>
        <w:rPr>
          <w:lang w:val="en-US"/>
        </w:rPr>
        <w:t xml:space="preserve">disbursement for 2018. The other eight projects financed by </w:t>
      </w:r>
      <w:r w:rsidRPr="005F1C01">
        <w:rPr>
          <w:lang w:val="en-US"/>
        </w:rPr>
        <w:t>World Bank</w:t>
      </w:r>
      <w:r>
        <w:rPr>
          <w:lang w:val="en-US"/>
        </w:rPr>
        <w:t xml:space="preserve"> loans were allocated a combined US$</w:t>
      </w:r>
      <w:r w:rsidR="005D7683">
        <w:rPr>
          <w:lang w:val="en-US"/>
        </w:rPr>
        <w:t>73</w:t>
      </w:r>
      <w:r>
        <w:rPr>
          <w:lang w:val="en-US"/>
        </w:rPr>
        <w:t xml:space="preserve"> million (</w:t>
      </w:r>
      <w:r w:rsidR="005D7683">
        <w:rPr>
          <w:lang w:val="en-US"/>
        </w:rPr>
        <w:t>37</w:t>
      </w:r>
      <w:r>
        <w:rPr>
          <w:lang w:val="en-US"/>
        </w:rPr>
        <w:t xml:space="preserve">% of total disbursement </w:t>
      </w:r>
      <w:r w:rsidR="00474B02">
        <w:rPr>
          <w:lang w:val="en-US"/>
        </w:rPr>
        <w:t>that year</w:t>
      </w:r>
      <w:r>
        <w:rPr>
          <w:lang w:val="en-US"/>
        </w:rPr>
        <w:t>).</w:t>
      </w:r>
    </w:p>
    <w:p w14:paraId="642400F4" w14:textId="1C845EE8" w:rsidR="000139C0" w:rsidRDefault="00402750" w:rsidP="00E81E8D">
      <w:pPr>
        <w:pStyle w:val="Heading1"/>
        <w:rPr>
          <w:lang w:val="en-US"/>
        </w:rPr>
      </w:pPr>
      <w:bookmarkStart w:id="25" w:name="_Toc91097891"/>
      <w:bookmarkStart w:id="26" w:name="_Hlk89765271"/>
      <w:r>
        <w:rPr>
          <w:lang w:val="en-US"/>
        </w:rPr>
        <w:lastRenderedPageBreak/>
        <w:t>International Monetary Fund</w:t>
      </w:r>
      <w:r w:rsidR="000139C0">
        <w:rPr>
          <w:lang w:val="en-US"/>
        </w:rPr>
        <w:t>: focus of loans</w:t>
      </w:r>
      <w:bookmarkEnd w:id="25"/>
    </w:p>
    <w:p w14:paraId="169FDAB0" w14:textId="68EC69F7" w:rsidR="00402750" w:rsidRDefault="003E0A96" w:rsidP="006E7E69">
      <w:pPr>
        <w:pStyle w:val="Heading2"/>
        <w:rPr>
          <w:lang w:val="en-US"/>
        </w:rPr>
      </w:pPr>
      <w:bookmarkStart w:id="27" w:name="_Toc91097892"/>
      <w:r>
        <w:rPr>
          <w:lang w:val="en-US"/>
        </w:rPr>
        <w:t>Cushioning Uganda from</w:t>
      </w:r>
      <w:r w:rsidR="001950F4">
        <w:rPr>
          <w:lang w:val="en-US"/>
        </w:rPr>
        <w:t xml:space="preserve"> the</w:t>
      </w:r>
      <w:r>
        <w:rPr>
          <w:lang w:val="en-US"/>
        </w:rPr>
        <w:t xml:space="preserve"> </w:t>
      </w:r>
      <w:r w:rsidR="00541CA3">
        <w:rPr>
          <w:lang w:val="en-US"/>
        </w:rPr>
        <w:t>pandemic s</w:t>
      </w:r>
      <w:r w:rsidR="00402750">
        <w:rPr>
          <w:lang w:val="en-US"/>
        </w:rPr>
        <w:t>hock</w:t>
      </w:r>
      <w:bookmarkEnd w:id="27"/>
      <w:r w:rsidR="00402750">
        <w:rPr>
          <w:lang w:val="en-US"/>
        </w:rPr>
        <w:t xml:space="preserve"> </w:t>
      </w:r>
    </w:p>
    <w:bookmarkEnd w:id="26"/>
    <w:p w14:paraId="2BE2E1C6" w14:textId="1D08D4F1" w:rsidR="001950F4" w:rsidRDefault="00402750" w:rsidP="00402750">
      <w:pPr>
        <w:rPr>
          <w:lang w:val="en-US"/>
        </w:rPr>
      </w:pPr>
      <w:r>
        <w:rPr>
          <w:lang w:val="en-US"/>
        </w:rPr>
        <w:t xml:space="preserve">The data used for this analysis was obtained from the IMF website as the institute does not </w:t>
      </w:r>
      <w:r w:rsidR="009959E6">
        <w:rPr>
          <w:lang w:val="en-US"/>
        </w:rPr>
        <w:t xml:space="preserve">currently </w:t>
      </w:r>
      <w:r>
        <w:rPr>
          <w:lang w:val="en-US"/>
        </w:rPr>
        <w:t xml:space="preserve">publish </w:t>
      </w:r>
      <w:r w:rsidR="00BC623E">
        <w:rPr>
          <w:lang w:val="en-US"/>
        </w:rPr>
        <w:t>to</w:t>
      </w:r>
      <w:r>
        <w:rPr>
          <w:lang w:val="en-US"/>
        </w:rPr>
        <w:t xml:space="preserve"> IATI. In May 2020, </w:t>
      </w:r>
      <w:r w:rsidR="001950F4">
        <w:rPr>
          <w:lang w:val="en-US"/>
        </w:rPr>
        <w:t xml:space="preserve">the </w:t>
      </w:r>
      <w:r>
        <w:rPr>
          <w:lang w:val="en-US"/>
        </w:rPr>
        <w:t>IMF disbursed US</w:t>
      </w:r>
      <w:r w:rsidR="00AA0CDF">
        <w:rPr>
          <w:lang w:val="en-US"/>
        </w:rPr>
        <w:t>$</w:t>
      </w:r>
      <w:r w:rsidR="006B2FBA">
        <w:rPr>
          <w:lang w:val="en-US"/>
        </w:rPr>
        <w:t>49</w:t>
      </w:r>
      <w:r w:rsidR="00474B02">
        <w:rPr>
          <w:lang w:val="en-US"/>
        </w:rPr>
        <w:t>2</w:t>
      </w:r>
      <w:r>
        <w:rPr>
          <w:lang w:val="en-US"/>
        </w:rPr>
        <w:t xml:space="preserve"> million to </w:t>
      </w:r>
      <w:r w:rsidR="006B2FBA">
        <w:rPr>
          <w:lang w:val="en-US"/>
        </w:rPr>
        <w:t xml:space="preserve">Uganda under the Rapid Credit Facility </w:t>
      </w:r>
      <w:r>
        <w:rPr>
          <w:lang w:val="en-US"/>
        </w:rPr>
        <w:t>to support the ongoing recovery from Covid-19</w:t>
      </w:r>
      <w:r w:rsidR="001950F4">
        <w:rPr>
          <w:lang w:val="en-US"/>
        </w:rPr>
        <w:t>.</w:t>
      </w:r>
      <w:r w:rsidR="003425DB">
        <w:rPr>
          <w:rStyle w:val="EndnoteReference"/>
          <w:lang w:val="en-US"/>
        </w:rPr>
        <w:endnoteReference w:id="25"/>
      </w:r>
      <w:r w:rsidR="00E7179F">
        <w:rPr>
          <w:lang w:val="en-US"/>
        </w:rPr>
        <w:t xml:space="preserve"> </w:t>
      </w:r>
      <w:r w:rsidR="006B2FBA">
        <w:rPr>
          <w:lang w:val="en-US"/>
        </w:rPr>
        <w:t xml:space="preserve">The IMF also committed to offer Uganda another </w:t>
      </w:r>
      <w:r>
        <w:rPr>
          <w:lang w:val="en-US"/>
        </w:rPr>
        <w:t>US</w:t>
      </w:r>
      <w:r w:rsidR="00AA0CDF">
        <w:rPr>
          <w:lang w:val="en-US"/>
        </w:rPr>
        <w:t>$</w:t>
      </w:r>
      <w:r w:rsidR="006B2FBA">
        <w:rPr>
          <w:lang w:val="en-US"/>
        </w:rPr>
        <w:t xml:space="preserve">1 </w:t>
      </w:r>
      <w:r>
        <w:rPr>
          <w:lang w:val="en-US"/>
        </w:rPr>
        <w:t>billion</w:t>
      </w:r>
      <w:r w:rsidR="006B2FBA">
        <w:rPr>
          <w:lang w:val="en-US"/>
        </w:rPr>
        <w:t xml:space="preserve"> loan under the E</w:t>
      </w:r>
      <w:r>
        <w:rPr>
          <w:lang w:val="en-US"/>
        </w:rPr>
        <w:t>xtended Credit Facility</w:t>
      </w:r>
      <w:r w:rsidR="003425DB">
        <w:rPr>
          <w:lang w:val="en-US"/>
        </w:rPr>
        <w:t xml:space="preserve"> (ECF)</w:t>
      </w:r>
      <w:r w:rsidR="006B2FBA">
        <w:rPr>
          <w:lang w:val="en-US"/>
        </w:rPr>
        <w:t>, US$258 million of which was disbursed in June 2021</w:t>
      </w:r>
      <w:r>
        <w:rPr>
          <w:lang w:val="en-US"/>
        </w:rPr>
        <w:t xml:space="preserve">. </w:t>
      </w:r>
      <w:bookmarkStart w:id="28" w:name="_Hlk89765307"/>
      <w:r w:rsidR="0012152C">
        <w:rPr>
          <w:lang w:val="en-US"/>
        </w:rPr>
        <w:t>The loans under the IMF’s ECF aim to boost Uganda’s recovery from the Covid-19 pandemic, while generating strong and inclusive private</w:t>
      </w:r>
      <w:r w:rsidR="00474B02">
        <w:rPr>
          <w:lang w:val="en-US"/>
        </w:rPr>
        <w:t xml:space="preserve"> </w:t>
      </w:r>
      <w:r w:rsidR="0012152C">
        <w:rPr>
          <w:lang w:val="en-US"/>
        </w:rPr>
        <w:t>sector</w:t>
      </w:r>
      <w:r w:rsidR="00474B02">
        <w:rPr>
          <w:lang w:val="en-US"/>
        </w:rPr>
        <w:t>-</w:t>
      </w:r>
      <w:r w:rsidR="0012152C">
        <w:rPr>
          <w:lang w:val="en-US"/>
        </w:rPr>
        <w:t>led growth in the short term</w:t>
      </w:r>
      <w:bookmarkEnd w:id="28"/>
      <w:r w:rsidR="001950F4">
        <w:rPr>
          <w:lang w:val="en-US"/>
        </w:rPr>
        <w:t>.</w:t>
      </w:r>
      <w:r w:rsidR="0012152C">
        <w:rPr>
          <w:rStyle w:val="EndnoteReference"/>
          <w:lang w:val="en-US"/>
        </w:rPr>
        <w:endnoteReference w:id="26"/>
      </w:r>
    </w:p>
    <w:p w14:paraId="4F054AC6" w14:textId="3EC6A774" w:rsidR="00D441E7" w:rsidRDefault="00EE51F8" w:rsidP="00652628">
      <w:pPr>
        <w:pStyle w:val="FigureTitle"/>
        <w:rPr>
          <w:lang w:val="en-US"/>
        </w:rPr>
      </w:pPr>
      <w:r>
        <w:rPr>
          <w:lang w:val="en-US"/>
        </w:rPr>
        <w:t xml:space="preserve">Figure </w:t>
      </w:r>
      <w:r w:rsidR="00E7179F">
        <w:rPr>
          <w:lang w:val="en-US"/>
        </w:rPr>
        <w:t>6</w:t>
      </w:r>
      <w:r>
        <w:rPr>
          <w:lang w:val="en-US"/>
        </w:rPr>
        <w:t xml:space="preserve">: </w:t>
      </w:r>
      <w:r w:rsidR="00D441E7">
        <w:rPr>
          <w:lang w:val="en-US"/>
        </w:rPr>
        <w:t xml:space="preserve">IMF loans to Uganda, </w:t>
      </w:r>
      <w:r w:rsidR="009959E6">
        <w:rPr>
          <w:lang w:val="en-US"/>
        </w:rPr>
        <w:t xml:space="preserve">January </w:t>
      </w:r>
      <w:r w:rsidR="00D441E7">
        <w:rPr>
          <w:lang w:val="en-US"/>
        </w:rPr>
        <w:t>20</w:t>
      </w:r>
      <w:r w:rsidR="003D30E7">
        <w:rPr>
          <w:lang w:val="en-US"/>
        </w:rPr>
        <w:t>20</w:t>
      </w:r>
      <w:r w:rsidR="009959E6">
        <w:rPr>
          <w:lang w:val="en-US"/>
        </w:rPr>
        <w:t xml:space="preserve"> to June </w:t>
      </w:r>
      <w:r w:rsidR="00D441E7">
        <w:rPr>
          <w:lang w:val="en-US"/>
        </w:rPr>
        <w:t>2021</w:t>
      </w:r>
    </w:p>
    <w:p w14:paraId="3794FAA2" w14:textId="554EEFAC" w:rsidR="00D441E7" w:rsidRDefault="00EE51F8" w:rsidP="00402750">
      <w:pPr>
        <w:rPr>
          <w:lang w:val="en-US"/>
        </w:rPr>
      </w:pPr>
      <w:r>
        <w:rPr>
          <w:noProof/>
        </w:rPr>
        <w:drawing>
          <wp:inline distT="0" distB="0" distL="0" distR="0" wp14:anchorId="504D7DD0" wp14:editId="11DC964A">
            <wp:extent cx="5029200" cy="1537970"/>
            <wp:effectExtent l="0" t="0" r="0" b="5080"/>
            <wp:docPr id="16" name="Chart 16" descr="Figure 6: A clustered column chart showing loans disbursed to Uganda by the IMF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9523390D-C214-4FA1-AA47-85BB9FB83F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154D8D" w14:textId="036190AB" w:rsidR="001950F4" w:rsidRDefault="00D441E7" w:rsidP="001950F4">
      <w:pPr>
        <w:pStyle w:val="Source"/>
        <w:tabs>
          <w:tab w:val="left" w:pos="2693"/>
        </w:tabs>
        <w:rPr>
          <w:lang w:val="en-US"/>
        </w:rPr>
      </w:pPr>
      <w:r>
        <w:rPr>
          <w:lang w:val="en-US"/>
        </w:rPr>
        <w:t>Source</w:t>
      </w:r>
      <w:r w:rsidR="00652628">
        <w:rPr>
          <w:lang w:val="en-US"/>
        </w:rPr>
        <w:t xml:space="preserve">: </w:t>
      </w:r>
      <w:r w:rsidR="00B660B2">
        <w:rPr>
          <w:lang w:val="en-US"/>
        </w:rPr>
        <w:t xml:space="preserve">Development Initiatives based on </w:t>
      </w:r>
      <w:r w:rsidR="00652628">
        <w:rPr>
          <w:lang w:val="en-US"/>
        </w:rPr>
        <w:t>IMF</w:t>
      </w:r>
      <w:r w:rsidR="00B660B2">
        <w:rPr>
          <w:lang w:val="en-US"/>
        </w:rPr>
        <w:t>.</w:t>
      </w:r>
      <w:r w:rsidR="00652628">
        <w:rPr>
          <w:lang w:val="en-US"/>
        </w:rPr>
        <w:t xml:space="preserve"> </w:t>
      </w:r>
    </w:p>
    <w:p w14:paraId="3CC69D5D" w14:textId="4EB18F1E" w:rsidR="003C1218" w:rsidRDefault="0012152C" w:rsidP="001950F4">
      <w:pPr>
        <w:pStyle w:val="Source"/>
        <w:tabs>
          <w:tab w:val="left" w:pos="2693"/>
        </w:tabs>
        <w:rPr>
          <w:lang w:val="en-US"/>
        </w:rPr>
      </w:pPr>
      <w:r>
        <w:rPr>
          <w:lang w:val="en-US"/>
        </w:rPr>
        <w:t>Note: Only US$258 million out of the US$1 billion from the IMF’s E</w:t>
      </w:r>
      <w:r w:rsidR="003D30E7">
        <w:rPr>
          <w:lang w:val="en-US"/>
        </w:rPr>
        <w:t xml:space="preserve">xtended </w:t>
      </w:r>
      <w:r>
        <w:rPr>
          <w:lang w:val="en-US"/>
        </w:rPr>
        <w:t>C</w:t>
      </w:r>
      <w:r w:rsidR="003D30E7">
        <w:rPr>
          <w:lang w:val="en-US"/>
        </w:rPr>
        <w:t xml:space="preserve">redit </w:t>
      </w:r>
      <w:r>
        <w:rPr>
          <w:lang w:val="en-US"/>
        </w:rPr>
        <w:t>F</w:t>
      </w:r>
      <w:r w:rsidR="003D30E7">
        <w:rPr>
          <w:lang w:val="en-US"/>
        </w:rPr>
        <w:t>acility to Uganda</w:t>
      </w:r>
      <w:r>
        <w:rPr>
          <w:lang w:val="en-US"/>
        </w:rPr>
        <w:t xml:space="preserve"> </w:t>
      </w:r>
      <w:r w:rsidR="003425DB">
        <w:rPr>
          <w:lang w:val="en-US"/>
        </w:rPr>
        <w:t xml:space="preserve">in 2021 </w:t>
      </w:r>
      <w:r>
        <w:rPr>
          <w:lang w:val="en-US"/>
        </w:rPr>
        <w:t xml:space="preserve">was disbursed by </w:t>
      </w:r>
      <w:r w:rsidR="003425DB">
        <w:rPr>
          <w:lang w:val="en-US"/>
        </w:rPr>
        <w:t>June 2021</w:t>
      </w:r>
      <w:r w:rsidR="001950F4" w:rsidRPr="001950F4">
        <w:rPr>
          <w:lang w:val="en-US"/>
        </w:rPr>
        <w:t xml:space="preserve"> </w:t>
      </w:r>
      <w:r w:rsidR="003C1218" w:rsidRPr="0055490D">
        <w:rPr>
          <w:rFonts w:cstheme="minorHAnsi"/>
          <w:lang w:val="en-US"/>
        </w:rPr>
        <w:t>Data for 2021</w:t>
      </w:r>
      <w:r w:rsidR="003C1218" w:rsidRPr="0055490D">
        <w:rPr>
          <w:lang w:val="en-US"/>
        </w:rPr>
        <w:t xml:space="preserve"> does not include all the loans that will be advanced this year</w:t>
      </w:r>
      <w:r w:rsidR="003C1218">
        <w:rPr>
          <w:lang w:val="en-US"/>
        </w:rPr>
        <w:t>: only l</w:t>
      </w:r>
      <w:r w:rsidR="003C1218" w:rsidRPr="0055490D">
        <w:rPr>
          <w:lang w:val="en-US"/>
        </w:rPr>
        <w:t xml:space="preserve">oans </w:t>
      </w:r>
      <w:r w:rsidR="003C1218">
        <w:rPr>
          <w:lang w:val="en-US"/>
        </w:rPr>
        <w:t>made up to and including</w:t>
      </w:r>
      <w:r w:rsidR="003C1218" w:rsidRPr="0055490D">
        <w:rPr>
          <w:lang w:val="en-US"/>
        </w:rPr>
        <w:t xml:space="preserve"> </w:t>
      </w:r>
      <w:r w:rsidR="003C1218">
        <w:rPr>
          <w:lang w:val="en-US"/>
        </w:rPr>
        <w:t>June</w:t>
      </w:r>
      <w:r w:rsidR="003C1218" w:rsidRPr="0055490D">
        <w:rPr>
          <w:lang w:val="en-US"/>
        </w:rPr>
        <w:t xml:space="preserve"> 2021</w:t>
      </w:r>
      <w:r w:rsidR="003C1218">
        <w:rPr>
          <w:lang w:val="en-US"/>
        </w:rPr>
        <w:t xml:space="preserve"> were counted.</w:t>
      </w:r>
    </w:p>
    <w:p w14:paraId="4AA6F721" w14:textId="41736649" w:rsidR="0012152C" w:rsidRDefault="001950F4" w:rsidP="001950F4">
      <w:pPr>
        <w:rPr>
          <w:lang w:val="en-US"/>
        </w:rPr>
      </w:pPr>
      <w:r>
        <w:rPr>
          <w:lang w:val="en-US"/>
        </w:rPr>
        <w:t>The IMF lending is premised on</w:t>
      </w:r>
      <w:r w:rsidR="00437D74">
        <w:rPr>
          <w:lang w:val="en-US"/>
        </w:rPr>
        <w:t xml:space="preserve"> the</w:t>
      </w:r>
      <w:r>
        <w:rPr>
          <w:lang w:val="en-US"/>
        </w:rPr>
        <w:t xml:space="preserve"> Uganda</w:t>
      </w:r>
      <w:r w:rsidR="00437D74">
        <w:rPr>
          <w:lang w:val="en-US"/>
        </w:rPr>
        <w:t>n</w:t>
      </w:r>
      <w:r>
        <w:rPr>
          <w:lang w:val="en-US"/>
        </w:rPr>
        <w:t xml:space="preserve"> government </w:t>
      </w:r>
      <w:r>
        <w:rPr>
          <w:rFonts w:ascii="Helvetica" w:hAnsi="Helvetica" w:cs="Helvetica"/>
          <w:color w:val="2C2825"/>
          <w:shd w:val="clear" w:color="auto" w:fill="FFFFFF"/>
        </w:rPr>
        <w:t xml:space="preserve">ensuring </w:t>
      </w:r>
      <w:r w:rsidRPr="00695A4A">
        <w:rPr>
          <w:lang w:val="en-US"/>
        </w:rPr>
        <w:t xml:space="preserve">increased spending on social </w:t>
      </w:r>
      <w:proofErr w:type="spellStart"/>
      <w:r w:rsidRPr="00695A4A">
        <w:rPr>
          <w:lang w:val="en-US"/>
        </w:rPr>
        <w:t>program</w:t>
      </w:r>
      <w:r w:rsidR="00B15A3D">
        <w:rPr>
          <w:lang w:val="en-US"/>
        </w:rPr>
        <w:t>me</w:t>
      </w:r>
      <w:r w:rsidRPr="00695A4A">
        <w:rPr>
          <w:lang w:val="en-US"/>
        </w:rPr>
        <w:t>s</w:t>
      </w:r>
      <w:proofErr w:type="spellEnd"/>
      <w:r w:rsidRPr="00695A4A">
        <w:rPr>
          <w:lang w:val="en-US"/>
        </w:rPr>
        <w:t xml:space="preserve"> </w:t>
      </w:r>
      <w:r w:rsidR="00321FC4">
        <w:rPr>
          <w:lang w:val="en-US"/>
        </w:rPr>
        <w:t>(</w:t>
      </w:r>
      <w:r w:rsidRPr="00695A4A">
        <w:rPr>
          <w:lang w:val="en-US"/>
        </w:rPr>
        <w:t>including on health, education, and social assistance</w:t>
      </w:r>
      <w:r w:rsidR="00437D74">
        <w:rPr>
          <w:lang w:val="en-US"/>
        </w:rPr>
        <w:t>)</w:t>
      </w:r>
      <w:r w:rsidRPr="00695A4A">
        <w:rPr>
          <w:lang w:val="en-US"/>
        </w:rPr>
        <w:t xml:space="preserve"> arising from greater public sector efficiency. </w:t>
      </w:r>
      <w:r w:rsidR="00FD10E5" w:rsidRPr="00B821D3">
        <w:rPr>
          <w:lang w:val="en-US"/>
        </w:rPr>
        <w:t>The IMF’s lending requirements includ</w:t>
      </w:r>
      <w:r w:rsidR="00E37320" w:rsidRPr="00B821D3">
        <w:rPr>
          <w:lang w:val="en-US"/>
        </w:rPr>
        <w:t>e</w:t>
      </w:r>
      <w:r w:rsidR="00437D74">
        <w:rPr>
          <w:lang w:val="en-US"/>
        </w:rPr>
        <w:t xml:space="preserve"> a</w:t>
      </w:r>
      <w:r w:rsidR="00FD10E5" w:rsidRPr="00B821D3">
        <w:rPr>
          <w:lang w:val="en-US"/>
        </w:rPr>
        <w:t xml:space="preserve"> </w:t>
      </w:r>
      <w:r w:rsidRPr="00B821D3">
        <w:rPr>
          <w:lang w:val="en-US"/>
        </w:rPr>
        <w:t>greater transparency in public accounts</w:t>
      </w:r>
      <w:r w:rsidR="00437D74">
        <w:rPr>
          <w:lang w:val="en-US"/>
        </w:rPr>
        <w:t xml:space="preserve"> and</w:t>
      </w:r>
      <w:r w:rsidR="00DE64DF" w:rsidRPr="00B821D3">
        <w:rPr>
          <w:lang w:val="en-US"/>
        </w:rPr>
        <w:t xml:space="preserve"> a</w:t>
      </w:r>
      <w:r w:rsidRPr="00B821D3">
        <w:rPr>
          <w:lang w:val="en-US"/>
        </w:rPr>
        <w:t xml:space="preserve"> strong anticorruption framework</w:t>
      </w:r>
      <w:r w:rsidR="00FD10E5" w:rsidRPr="00B821D3">
        <w:rPr>
          <w:lang w:val="en-US"/>
        </w:rPr>
        <w:t xml:space="preserve"> </w:t>
      </w:r>
      <w:r w:rsidR="00437D74">
        <w:rPr>
          <w:lang w:val="en-US"/>
        </w:rPr>
        <w:t>that</w:t>
      </w:r>
      <w:r w:rsidR="00DE64DF" w:rsidRPr="00B821D3">
        <w:rPr>
          <w:lang w:val="en-US"/>
        </w:rPr>
        <w:t xml:space="preserve"> aims </w:t>
      </w:r>
      <w:r w:rsidR="00FD10E5" w:rsidRPr="00B821D3">
        <w:rPr>
          <w:lang w:val="en-US"/>
        </w:rPr>
        <w:t>to lead to hi</w:t>
      </w:r>
      <w:r w:rsidRPr="00B821D3">
        <w:rPr>
          <w:lang w:val="en-US"/>
        </w:rPr>
        <w:t xml:space="preserve">gher financial sector resilience </w:t>
      </w:r>
      <w:r w:rsidR="00FD10E5" w:rsidRPr="00B821D3">
        <w:rPr>
          <w:lang w:val="en-US"/>
        </w:rPr>
        <w:t xml:space="preserve">and </w:t>
      </w:r>
      <w:r w:rsidRPr="00B821D3">
        <w:rPr>
          <w:lang w:val="en-US"/>
        </w:rPr>
        <w:t>more inclusive growth.</w:t>
      </w:r>
      <w:r w:rsidRPr="00B821D3">
        <w:rPr>
          <w:rStyle w:val="EndnoteReference"/>
          <w:rFonts w:cs="Helvetica"/>
          <w:shd w:val="clear" w:color="auto" w:fill="FFFFFF"/>
        </w:rPr>
        <w:endnoteReference w:id="27"/>
      </w:r>
    </w:p>
    <w:p w14:paraId="48700FCC" w14:textId="4EB935AB" w:rsidR="000139C0" w:rsidRDefault="00402750" w:rsidP="00E81E8D">
      <w:pPr>
        <w:pStyle w:val="Heading1"/>
        <w:rPr>
          <w:lang w:val="en-US"/>
        </w:rPr>
      </w:pPr>
      <w:bookmarkStart w:id="29" w:name="_Toc91097893"/>
      <w:bookmarkStart w:id="30" w:name="_Hlk89765334"/>
      <w:r>
        <w:rPr>
          <w:lang w:val="en-US"/>
        </w:rPr>
        <w:lastRenderedPageBreak/>
        <w:t>African Development Bank</w:t>
      </w:r>
      <w:r w:rsidR="000139C0">
        <w:rPr>
          <w:lang w:val="en-US"/>
        </w:rPr>
        <w:t>: focus of loans</w:t>
      </w:r>
      <w:bookmarkEnd w:id="29"/>
    </w:p>
    <w:p w14:paraId="287B7210" w14:textId="348B22F0" w:rsidR="00402750" w:rsidRDefault="002D7B95" w:rsidP="00462E24">
      <w:pPr>
        <w:pStyle w:val="Heading2"/>
        <w:rPr>
          <w:lang w:val="en-US"/>
        </w:rPr>
      </w:pPr>
      <w:bookmarkStart w:id="31" w:name="_Toc91097894"/>
      <w:r>
        <w:rPr>
          <w:lang w:val="en-US"/>
        </w:rPr>
        <w:t>Sectors: t</w:t>
      </w:r>
      <w:r w:rsidR="00F11E67">
        <w:rPr>
          <w:lang w:val="en-US"/>
        </w:rPr>
        <w:t>argeting</w:t>
      </w:r>
      <w:r w:rsidR="00402750">
        <w:rPr>
          <w:lang w:val="en-US"/>
        </w:rPr>
        <w:t xml:space="preserve"> long</w:t>
      </w:r>
      <w:r w:rsidR="00F11E67">
        <w:rPr>
          <w:lang w:val="en-US"/>
        </w:rPr>
        <w:t>-</w:t>
      </w:r>
      <w:r w:rsidR="00402750">
        <w:rPr>
          <w:lang w:val="en-US"/>
        </w:rPr>
        <w:t xml:space="preserve">term </w:t>
      </w:r>
      <w:r w:rsidR="00AE47A0">
        <w:rPr>
          <w:lang w:val="en-US"/>
        </w:rPr>
        <w:t>impacts</w:t>
      </w:r>
      <w:r w:rsidR="00301425">
        <w:rPr>
          <w:lang w:val="en-US"/>
        </w:rPr>
        <w:t xml:space="preserve"> </w:t>
      </w:r>
      <w:r w:rsidR="00AE47A0">
        <w:rPr>
          <w:lang w:val="en-US"/>
        </w:rPr>
        <w:t>i</w:t>
      </w:r>
      <w:r w:rsidR="00847179">
        <w:rPr>
          <w:lang w:val="en-US"/>
        </w:rPr>
        <w:t>n pro-poor sectors</w:t>
      </w:r>
      <w:bookmarkEnd w:id="31"/>
      <w:r w:rsidR="00402750">
        <w:rPr>
          <w:lang w:val="en-US"/>
        </w:rPr>
        <w:t xml:space="preserve"> </w:t>
      </w:r>
    </w:p>
    <w:p w14:paraId="3F0FA1B7" w14:textId="50CE8F63" w:rsidR="0030070C" w:rsidRDefault="00C27941" w:rsidP="0030070C">
      <w:pPr>
        <w:rPr>
          <w:lang w:val="en-US"/>
        </w:rPr>
      </w:pPr>
      <w:bookmarkStart w:id="32" w:name="_Hlk89765353"/>
      <w:bookmarkEnd w:id="30"/>
      <w:r>
        <w:rPr>
          <w:lang w:val="en-US"/>
        </w:rPr>
        <w:t>In general,</w:t>
      </w:r>
      <w:r w:rsidR="00ED42DF">
        <w:rPr>
          <w:lang w:val="en-US"/>
        </w:rPr>
        <w:t xml:space="preserve"> between January 2018 and June 2021,</w:t>
      </w:r>
      <w:r>
        <w:rPr>
          <w:lang w:val="en-US"/>
        </w:rPr>
        <w:t xml:space="preserve"> the </w:t>
      </w:r>
      <w:r w:rsidR="00394707">
        <w:rPr>
          <w:lang w:val="en-US"/>
        </w:rPr>
        <w:t>focus of AfDB loans to Uganda</w:t>
      </w:r>
      <w:r>
        <w:rPr>
          <w:lang w:val="en-US"/>
        </w:rPr>
        <w:t xml:space="preserve"> has been</w:t>
      </w:r>
      <w:r w:rsidR="002838F1">
        <w:rPr>
          <w:lang w:val="en-US"/>
        </w:rPr>
        <w:t xml:space="preserve"> </w:t>
      </w:r>
      <w:r w:rsidR="00394707">
        <w:rPr>
          <w:lang w:val="en-US"/>
        </w:rPr>
        <w:t>on</w:t>
      </w:r>
      <w:r w:rsidR="001B1255">
        <w:rPr>
          <w:lang w:val="en-US"/>
        </w:rPr>
        <w:t xml:space="preserve"> </w:t>
      </w:r>
      <w:r w:rsidR="00394707">
        <w:rPr>
          <w:lang w:val="en-US"/>
        </w:rPr>
        <w:t xml:space="preserve">sectors </w:t>
      </w:r>
      <w:r w:rsidR="001B1255">
        <w:rPr>
          <w:lang w:val="en-US"/>
        </w:rPr>
        <w:t xml:space="preserve">that </w:t>
      </w:r>
      <w:r w:rsidR="000705F1">
        <w:rPr>
          <w:lang w:val="en-US"/>
        </w:rPr>
        <w:t xml:space="preserve">can most directly </w:t>
      </w:r>
      <w:r w:rsidR="001B1255">
        <w:rPr>
          <w:lang w:val="en-US"/>
        </w:rPr>
        <w:t>benefit people living in poverty</w:t>
      </w:r>
      <w:r w:rsidR="00BB4803">
        <w:rPr>
          <w:lang w:val="en-US"/>
        </w:rPr>
        <w:t>. These sectors include</w:t>
      </w:r>
      <w:r w:rsidR="001B1255">
        <w:rPr>
          <w:lang w:val="en-US"/>
        </w:rPr>
        <w:t xml:space="preserve"> </w:t>
      </w:r>
      <w:r w:rsidR="00394707">
        <w:rPr>
          <w:lang w:val="en-US"/>
        </w:rPr>
        <w:t xml:space="preserve">infrastructure, </w:t>
      </w:r>
      <w:r w:rsidR="001B1255">
        <w:rPr>
          <w:lang w:val="en-US"/>
        </w:rPr>
        <w:t xml:space="preserve">education, and </w:t>
      </w:r>
      <w:r w:rsidR="00394707">
        <w:rPr>
          <w:lang w:val="en-US"/>
        </w:rPr>
        <w:t xml:space="preserve">water and sanitation </w:t>
      </w:r>
      <w:r w:rsidR="00ED42DF">
        <w:rPr>
          <w:lang w:val="en-US"/>
        </w:rPr>
        <w:t>(</w:t>
      </w:r>
      <w:r w:rsidR="00BB4803">
        <w:rPr>
          <w:lang w:val="en-US"/>
        </w:rPr>
        <w:t>providing</w:t>
      </w:r>
      <w:r w:rsidR="00394707">
        <w:rPr>
          <w:lang w:val="en-US"/>
        </w:rPr>
        <w:t xml:space="preserve"> long-term </w:t>
      </w:r>
      <w:r w:rsidR="00AE47A0">
        <w:rPr>
          <w:lang w:val="en-US"/>
        </w:rPr>
        <w:t>impacts</w:t>
      </w:r>
      <w:r w:rsidR="00301425">
        <w:rPr>
          <w:lang w:val="en-US"/>
        </w:rPr>
        <w:t>)</w:t>
      </w:r>
      <w:r w:rsidR="00394707">
        <w:rPr>
          <w:lang w:val="en-US"/>
        </w:rPr>
        <w:t xml:space="preserve"> and </w:t>
      </w:r>
      <w:r w:rsidR="00BB4803">
        <w:rPr>
          <w:lang w:val="en-US"/>
        </w:rPr>
        <w:t xml:space="preserve">the </w:t>
      </w:r>
      <w:r w:rsidR="00394707">
        <w:rPr>
          <w:lang w:val="en-US"/>
        </w:rPr>
        <w:t xml:space="preserve">agriculture and food security sector </w:t>
      </w:r>
      <w:r w:rsidR="00301425">
        <w:rPr>
          <w:lang w:val="en-US"/>
        </w:rPr>
        <w:t>(</w:t>
      </w:r>
      <w:r w:rsidR="00BB4803">
        <w:rPr>
          <w:lang w:val="en-US"/>
        </w:rPr>
        <w:t>providing</w:t>
      </w:r>
      <w:r w:rsidR="00394707">
        <w:rPr>
          <w:lang w:val="en-US"/>
        </w:rPr>
        <w:t xml:space="preserve"> short</w:t>
      </w:r>
      <w:r w:rsidR="00BB4803">
        <w:rPr>
          <w:lang w:val="en-US"/>
        </w:rPr>
        <w:t>-</w:t>
      </w:r>
      <w:r w:rsidR="00394707">
        <w:rPr>
          <w:lang w:val="en-US"/>
        </w:rPr>
        <w:t xml:space="preserve"> to medium</w:t>
      </w:r>
      <w:r w:rsidR="00B5503B">
        <w:rPr>
          <w:lang w:val="en-US"/>
        </w:rPr>
        <w:t>-</w:t>
      </w:r>
      <w:r w:rsidR="00394707">
        <w:rPr>
          <w:lang w:val="en-US"/>
        </w:rPr>
        <w:t xml:space="preserve">term </w:t>
      </w:r>
      <w:r w:rsidR="00AE47A0">
        <w:rPr>
          <w:lang w:val="en-US"/>
        </w:rPr>
        <w:t>impacts</w:t>
      </w:r>
      <w:bookmarkEnd w:id="32"/>
      <w:r w:rsidR="00ED42DF">
        <w:rPr>
          <w:lang w:val="en-US"/>
        </w:rPr>
        <w:t>)</w:t>
      </w:r>
      <w:r w:rsidR="00394707">
        <w:rPr>
          <w:lang w:val="en-US"/>
        </w:rPr>
        <w:t>.</w:t>
      </w:r>
      <w:r w:rsidR="009C490C">
        <w:rPr>
          <w:lang w:val="en-US"/>
        </w:rPr>
        <w:t xml:space="preserve"> </w:t>
      </w:r>
      <w:r w:rsidR="000718B0">
        <w:rPr>
          <w:lang w:val="en-US"/>
        </w:rPr>
        <w:t>F</w:t>
      </w:r>
      <w:r w:rsidR="00B94FE2">
        <w:rPr>
          <w:lang w:val="en-US"/>
        </w:rPr>
        <w:t xml:space="preserve">ollowing the outbreak of Covid-19 in 2020, </w:t>
      </w:r>
      <w:r w:rsidR="000718B0">
        <w:rPr>
          <w:lang w:val="en-US"/>
        </w:rPr>
        <w:t>there was</w:t>
      </w:r>
      <w:r w:rsidR="00E01D67">
        <w:rPr>
          <w:lang w:val="en-US"/>
        </w:rPr>
        <w:t xml:space="preserve"> no </w:t>
      </w:r>
      <w:r w:rsidR="009C490C">
        <w:rPr>
          <w:lang w:val="en-US"/>
        </w:rPr>
        <w:t>major change in</w:t>
      </w:r>
      <w:r w:rsidR="000718B0">
        <w:rPr>
          <w:lang w:val="en-US"/>
        </w:rPr>
        <w:t xml:space="preserve"> the sector focus of</w:t>
      </w:r>
      <w:r w:rsidR="009C490C">
        <w:rPr>
          <w:lang w:val="en-US"/>
        </w:rPr>
        <w:t xml:space="preserve"> AfDB loan disbursements to Uganda. </w:t>
      </w:r>
    </w:p>
    <w:p w14:paraId="4E9B21CF" w14:textId="0E4908EE" w:rsidR="00B94FE2" w:rsidRDefault="0030070C" w:rsidP="00402750">
      <w:pPr>
        <w:rPr>
          <w:lang w:val="en-US"/>
        </w:rPr>
      </w:pPr>
      <w:r>
        <w:rPr>
          <w:lang w:val="en-US"/>
        </w:rPr>
        <w:t>However, there has been a declining trend in loan disbursement over that time. The total of US$36</w:t>
      </w:r>
      <w:r w:rsidR="005D7683">
        <w:rPr>
          <w:lang w:val="en-US"/>
        </w:rPr>
        <w:t>1.1</w:t>
      </w:r>
      <w:r>
        <w:rPr>
          <w:lang w:val="en-US"/>
        </w:rPr>
        <w:t xml:space="preserve"> million disbursed during the period was distributed as follows: US$130.5 million in 2018, US$1</w:t>
      </w:r>
      <w:r w:rsidR="00FE4D68">
        <w:rPr>
          <w:lang w:val="en-US"/>
        </w:rPr>
        <w:t>29.5</w:t>
      </w:r>
      <w:r>
        <w:rPr>
          <w:lang w:val="en-US"/>
        </w:rPr>
        <w:t xml:space="preserve"> million in 2019, and US$101</w:t>
      </w:r>
      <w:r w:rsidR="00FE4D68">
        <w:rPr>
          <w:lang w:val="en-US"/>
        </w:rPr>
        <w:t>.1</w:t>
      </w:r>
      <w:r>
        <w:rPr>
          <w:lang w:val="en-US"/>
        </w:rPr>
        <w:t xml:space="preserve"> million in 2020. No disbursements for 2021 had been published to IATI as of June that year. </w:t>
      </w:r>
    </w:p>
    <w:p w14:paraId="17352BDB" w14:textId="059CD641" w:rsidR="004C56D3" w:rsidRDefault="00E051BC" w:rsidP="009D7657">
      <w:pPr>
        <w:pStyle w:val="FigureTitle"/>
        <w:spacing w:after="0"/>
        <w:rPr>
          <w:lang w:val="en-US"/>
        </w:rPr>
      </w:pPr>
      <w:r>
        <w:rPr>
          <w:lang w:val="en-US"/>
        </w:rPr>
        <w:t>Figure</w:t>
      </w:r>
      <w:r w:rsidR="007E19EF">
        <w:rPr>
          <w:lang w:val="en-US"/>
        </w:rPr>
        <w:t xml:space="preserve"> </w:t>
      </w:r>
      <w:r w:rsidR="00E7179F">
        <w:rPr>
          <w:lang w:val="en-US"/>
        </w:rPr>
        <w:t>7</w:t>
      </w:r>
      <w:r>
        <w:rPr>
          <w:lang w:val="en-US"/>
        </w:rPr>
        <w:t xml:space="preserve">: </w:t>
      </w:r>
      <w:r w:rsidR="004C56D3">
        <w:rPr>
          <w:lang w:val="en-US"/>
        </w:rPr>
        <w:t>Sector allocation of Af</w:t>
      </w:r>
      <w:r w:rsidR="00E37320">
        <w:rPr>
          <w:lang w:val="en-US"/>
        </w:rPr>
        <w:t xml:space="preserve">rican </w:t>
      </w:r>
      <w:r w:rsidR="004C56D3">
        <w:rPr>
          <w:lang w:val="en-US"/>
        </w:rPr>
        <w:t>D</w:t>
      </w:r>
      <w:r w:rsidR="00E37320">
        <w:rPr>
          <w:lang w:val="en-US"/>
        </w:rPr>
        <w:t xml:space="preserve">evelopment </w:t>
      </w:r>
      <w:r w:rsidR="004C56D3">
        <w:rPr>
          <w:lang w:val="en-US"/>
        </w:rPr>
        <w:t>B</w:t>
      </w:r>
      <w:r w:rsidR="00E37320">
        <w:rPr>
          <w:lang w:val="en-US"/>
        </w:rPr>
        <w:t>ank</w:t>
      </w:r>
      <w:r w:rsidR="004C56D3">
        <w:rPr>
          <w:lang w:val="en-US"/>
        </w:rPr>
        <w:t xml:space="preserve"> loans to Uganda</w:t>
      </w:r>
      <w:r w:rsidR="003D30E7">
        <w:rPr>
          <w:lang w:val="en-US"/>
        </w:rPr>
        <w:t>, 2018–2020</w:t>
      </w:r>
      <w:bookmarkStart w:id="33" w:name="Fig7"/>
      <w:bookmarkEnd w:id="33"/>
    </w:p>
    <w:p w14:paraId="31EA6D67" w14:textId="3B06AB1A" w:rsidR="004C56D3" w:rsidRDefault="005B72AE" w:rsidP="009D7657">
      <w:pPr>
        <w:spacing w:before="0"/>
        <w:rPr>
          <w:lang w:val="en-US"/>
        </w:rPr>
      </w:pPr>
      <w:r>
        <w:rPr>
          <w:noProof/>
        </w:rPr>
        <w:drawing>
          <wp:inline distT="0" distB="0" distL="0" distR="0" wp14:anchorId="09DEDF7D" wp14:editId="12FC55F8">
            <wp:extent cx="5000625" cy="3009900"/>
            <wp:effectExtent l="0" t="0" r="0" b="0"/>
            <wp:docPr id="9" name="Chart 9" descr="Figure 7: A stacked bar chart showing the sector focus of African Development Bank loans disbursed to Uganda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B1C52083-D3BE-4591-854E-8FEF4D496B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213D46" w14:textId="6DC98AF9" w:rsidR="004C56D3" w:rsidRDefault="004C56D3" w:rsidP="004C56D3">
      <w:pPr>
        <w:pStyle w:val="Source"/>
        <w:rPr>
          <w:lang w:val="en-US"/>
        </w:rPr>
      </w:pPr>
      <w:r>
        <w:rPr>
          <w:lang w:val="en-US"/>
        </w:rPr>
        <w:t xml:space="preserve">Source: Development Initiatives sectoral analysis of African Development Bank commitments published through IATI. </w:t>
      </w:r>
    </w:p>
    <w:p w14:paraId="60388F7A" w14:textId="1A2C3BB3" w:rsidR="004C56D3" w:rsidRPr="00B73216" w:rsidRDefault="004C56D3" w:rsidP="004C56D3">
      <w:pPr>
        <w:pStyle w:val="Source"/>
        <w:rPr>
          <w:lang w:val="en-US"/>
        </w:rPr>
      </w:pPr>
      <w:r w:rsidRPr="0055490D">
        <w:rPr>
          <w:rFonts w:cstheme="minorHAnsi"/>
          <w:lang w:val="en-US"/>
        </w:rPr>
        <w:t xml:space="preserve">Note: </w:t>
      </w:r>
      <w:r w:rsidR="00107592" w:rsidRPr="0055490D">
        <w:rPr>
          <w:rFonts w:cstheme="minorHAnsi"/>
          <w:lang w:val="en-US"/>
        </w:rPr>
        <w:t>Data for 2021</w:t>
      </w:r>
      <w:r w:rsidR="00107592" w:rsidRPr="0055490D">
        <w:rPr>
          <w:lang w:val="en-US"/>
        </w:rPr>
        <w:t xml:space="preserve"> does not include all the loans that will be advanced this year</w:t>
      </w:r>
      <w:r w:rsidR="00107592">
        <w:rPr>
          <w:lang w:val="en-US"/>
        </w:rPr>
        <w:t>: only l</w:t>
      </w:r>
      <w:r w:rsidR="00107592" w:rsidRPr="0055490D">
        <w:rPr>
          <w:lang w:val="en-US"/>
        </w:rPr>
        <w:t xml:space="preserve">oans </w:t>
      </w:r>
      <w:r w:rsidR="00107592">
        <w:rPr>
          <w:lang w:val="en-US"/>
        </w:rPr>
        <w:t>made up to and including</w:t>
      </w:r>
      <w:r w:rsidR="00107592" w:rsidRPr="0055490D">
        <w:rPr>
          <w:lang w:val="en-US"/>
        </w:rPr>
        <w:t xml:space="preserve"> </w:t>
      </w:r>
      <w:r w:rsidR="00107592">
        <w:rPr>
          <w:lang w:val="en-US"/>
        </w:rPr>
        <w:t>June</w:t>
      </w:r>
      <w:r w:rsidR="00107592" w:rsidRPr="0055490D">
        <w:rPr>
          <w:lang w:val="en-US"/>
        </w:rPr>
        <w:t xml:space="preserve"> 2021</w:t>
      </w:r>
      <w:r w:rsidR="00107592">
        <w:rPr>
          <w:lang w:val="en-US"/>
        </w:rPr>
        <w:t xml:space="preserve"> were counted. </w:t>
      </w:r>
    </w:p>
    <w:p w14:paraId="33CA4922" w14:textId="13B0CB88" w:rsidR="0030070C" w:rsidRDefault="0030070C" w:rsidP="0030070C">
      <w:pPr>
        <w:rPr>
          <w:lang w:val="en-US"/>
        </w:rPr>
      </w:pPr>
      <w:r>
        <w:rPr>
          <w:lang w:val="en-US"/>
        </w:rPr>
        <w:lastRenderedPageBreak/>
        <w:t xml:space="preserve">The loans were allocated to six sectors, with agriculture and food security getting the highest </w:t>
      </w:r>
      <w:r w:rsidR="00C67530">
        <w:rPr>
          <w:lang w:val="en-US"/>
        </w:rPr>
        <w:t>total of</w:t>
      </w:r>
      <w:r>
        <w:rPr>
          <w:lang w:val="en-US"/>
        </w:rPr>
        <w:t xml:space="preserve"> US$10</w:t>
      </w:r>
      <w:r w:rsidR="00FE4D68">
        <w:rPr>
          <w:lang w:val="en-US"/>
        </w:rPr>
        <w:t xml:space="preserve">2.7 </w:t>
      </w:r>
      <w:r>
        <w:rPr>
          <w:lang w:val="en-US"/>
        </w:rPr>
        <w:t xml:space="preserve">million </w:t>
      </w:r>
      <w:r w:rsidR="000718B0">
        <w:rPr>
          <w:lang w:val="en-US"/>
        </w:rPr>
        <w:t>(</w:t>
      </w:r>
      <w:r>
        <w:rPr>
          <w:lang w:val="en-US"/>
        </w:rPr>
        <w:t xml:space="preserve">disbursed </w:t>
      </w:r>
      <w:r w:rsidR="00802C53">
        <w:rPr>
          <w:lang w:val="en-US"/>
        </w:rPr>
        <w:t xml:space="preserve">as </w:t>
      </w:r>
      <w:r w:rsidR="00664EBA">
        <w:rPr>
          <w:lang w:val="en-US"/>
        </w:rPr>
        <w:t>US$31.3 million in</w:t>
      </w:r>
      <w:r w:rsidR="00802C53">
        <w:rPr>
          <w:lang w:val="en-US"/>
        </w:rPr>
        <w:t xml:space="preserve"> </w:t>
      </w:r>
      <w:r>
        <w:rPr>
          <w:lang w:val="en-US"/>
        </w:rPr>
        <w:t xml:space="preserve">2020, </w:t>
      </w:r>
      <w:r w:rsidR="00664EBA">
        <w:rPr>
          <w:lang w:val="en-US"/>
        </w:rPr>
        <w:t>US$43.6</w:t>
      </w:r>
      <w:r w:rsidR="00802C53">
        <w:rPr>
          <w:lang w:val="en-US"/>
        </w:rPr>
        <w:t xml:space="preserve"> </w:t>
      </w:r>
      <w:r w:rsidR="00E37320">
        <w:rPr>
          <w:lang w:val="en-US"/>
        </w:rPr>
        <w:t xml:space="preserve">million </w:t>
      </w:r>
      <w:r w:rsidR="00802C53">
        <w:rPr>
          <w:lang w:val="en-US"/>
        </w:rPr>
        <w:t xml:space="preserve">in </w:t>
      </w:r>
      <w:r>
        <w:rPr>
          <w:lang w:val="en-US"/>
        </w:rPr>
        <w:t xml:space="preserve">2019 and </w:t>
      </w:r>
      <w:r w:rsidR="00664EBA">
        <w:rPr>
          <w:lang w:val="en-US"/>
        </w:rPr>
        <w:t>US$27.9</w:t>
      </w:r>
      <w:r w:rsidR="00E37320">
        <w:rPr>
          <w:lang w:val="en-US"/>
        </w:rPr>
        <w:t xml:space="preserve"> million</w:t>
      </w:r>
      <w:r w:rsidR="00802C53">
        <w:rPr>
          <w:lang w:val="en-US"/>
        </w:rPr>
        <w:t xml:space="preserve"> in </w:t>
      </w:r>
      <w:r>
        <w:rPr>
          <w:lang w:val="en-US"/>
        </w:rPr>
        <w:t>2018 respectively</w:t>
      </w:r>
      <w:r w:rsidR="000718B0">
        <w:rPr>
          <w:lang w:val="en-US"/>
        </w:rPr>
        <w:t>)</w:t>
      </w:r>
      <w:r>
        <w:rPr>
          <w:lang w:val="en-US"/>
        </w:rPr>
        <w:t>. Allocation</w:t>
      </w:r>
      <w:r w:rsidR="00B5503B">
        <w:rPr>
          <w:lang w:val="en-US"/>
        </w:rPr>
        <w:t>s</w:t>
      </w:r>
      <w:r>
        <w:rPr>
          <w:lang w:val="en-US"/>
        </w:rPr>
        <w:t xml:space="preserve"> to agriculture and food security, infrastructure,</w:t>
      </w:r>
      <w:r w:rsidR="00B5503B">
        <w:rPr>
          <w:lang w:val="en-US"/>
        </w:rPr>
        <w:t xml:space="preserve"> and</w:t>
      </w:r>
      <w:r>
        <w:rPr>
          <w:lang w:val="en-US"/>
        </w:rPr>
        <w:t xml:space="preserve"> water and sanitation change</w:t>
      </w:r>
      <w:r w:rsidR="00C67530">
        <w:rPr>
          <w:lang w:val="en-US"/>
        </w:rPr>
        <w:t>d little between</w:t>
      </w:r>
      <w:r>
        <w:rPr>
          <w:lang w:val="en-US"/>
        </w:rPr>
        <w:t xml:space="preserve"> 2018 </w:t>
      </w:r>
      <w:r w:rsidR="00C67530">
        <w:rPr>
          <w:lang w:val="en-US"/>
        </w:rPr>
        <w:t>and</w:t>
      </w:r>
      <w:r>
        <w:rPr>
          <w:lang w:val="en-US"/>
        </w:rPr>
        <w:t xml:space="preserve"> 2020</w:t>
      </w:r>
      <w:r w:rsidR="00B5503B">
        <w:rPr>
          <w:lang w:val="en-US"/>
        </w:rPr>
        <w:t>;</w:t>
      </w:r>
      <w:r>
        <w:rPr>
          <w:lang w:val="en-US"/>
        </w:rPr>
        <w:t xml:space="preserve"> however, there w</w:t>
      </w:r>
      <w:r w:rsidR="00B5503B">
        <w:rPr>
          <w:lang w:val="en-US"/>
        </w:rPr>
        <w:t>ere</w:t>
      </w:r>
      <w:r>
        <w:rPr>
          <w:lang w:val="en-US"/>
        </w:rPr>
        <w:t xml:space="preserve"> significant </w:t>
      </w:r>
      <w:r w:rsidR="00B5503B">
        <w:rPr>
          <w:lang w:val="en-US"/>
        </w:rPr>
        <w:t xml:space="preserve">reductions </w:t>
      </w:r>
      <w:r>
        <w:rPr>
          <w:lang w:val="en-US"/>
        </w:rPr>
        <w:t>in allocations to health and education in 2019 and 2020.</w:t>
      </w:r>
    </w:p>
    <w:p w14:paraId="21760B1F" w14:textId="47ED287B" w:rsidR="008D4FFA" w:rsidRDefault="00F12518" w:rsidP="00E81E8D">
      <w:pPr>
        <w:pStyle w:val="Heading2"/>
        <w:rPr>
          <w:lang w:val="en-US"/>
        </w:rPr>
      </w:pPr>
      <w:bookmarkStart w:id="34" w:name="_Toc91097895"/>
      <w:r>
        <w:rPr>
          <w:lang w:val="en-US"/>
        </w:rPr>
        <w:t>Key projects funded by Af</w:t>
      </w:r>
      <w:r w:rsidR="00BB2C2D">
        <w:rPr>
          <w:lang w:val="en-US"/>
        </w:rPr>
        <w:t xml:space="preserve">rican </w:t>
      </w:r>
      <w:r>
        <w:rPr>
          <w:lang w:val="en-US"/>
        </w:rPr>
        <w:t>D</w:t>
      </w:r>
      <w:r w:rsidR="00BB2C2D">
        <w:rPr>
          <w:lang w:val="en-US"/>
        </w:rPr>
        <w:t xml:space="preserve">evelopment </w:t>
      </w:r>
      <w:r>
        <w:rPr>
          <w:lang w:val="en-US"/>
        </w:rPr>
        <w:t>B</w:t>
      </w:r>
      <w:r w:rsidR="00BB2C2D">
        <w:rPr>
          <w:lang w:val="en-US"/>
        </w:rPr>
        <w:t>ank</w:t>
      </w:r>
      <w:r>
        <w:rPr>
          <w:lang w:val="en-US"/>
        </w:rPr>
        <w:t xml:space="preserve"> loans</w:t>
      </w:r>
      <w:bookmarkEnd w:id="34"/>
    </w:p>
    <w:p w14:paraId="76FA5FE9" w14:textId="168BF1E6" w:rsidR="00172FE4" w:rsidRDefault="00754B50" w:rsidP="00402750">
      <w:pPr>
        <w:rPr>
          <w:lang w:val="en-US"/>
        </w:rPr>
      </w:pPr>
      <w:r>
        <w:rPr>
          <w:lang w:val="en-US"/>
        </w:rPr>
        <w:t xml:space="preserve">Between 2018 and 2020, </w:t>
      </w:r>
      <w:r w:rsidR="00402750">
        <w:rPr>
          <w:lang w:val="en-US"/>
        </w:rPr>
        <w:t xml:space="preserve">AfDB supported </w:t>
      </w:r>
      <w:r w:rsidR="00B03AD4">
        <w:rPr>
          <w:lang w:val="en-US"/>
        </w:rPr>
        <w:t>1</w:t>
      </w:r>
      <w:r w:rsidR="00FE4D68">
        <w:rPr>
          <w:lang w:val="en-US"/>
        </w:rPr>
        <w:t>5</w:t>
      </w:r>
      <w:r w:rsidR="00B03AD4">
        <w:rPr>
          <w:lang w:val="en-US"/>
        </w:rPr>
        <w:t xml:space="preserve"> </w:t>
      </w:r>
      <w:r w:rsidR="00402750">
        <w:rPr>
          <w:lang w:val="en-US"/>
        </w:rPr>
        <w:t xml:space="preserve">projects on </w:t>
      </w:r>
      <w:r w:rsidR="00B03AD4">
        <w:rPr>
          <w:lang w:val="en-US"/>
        </w:rPr>
        <w:t>agriculture and food security</w:t>
      </w:r>
      <w:r w:rsidR="006D2BB4">
        <w:rPr>
          <w:lang w:val="en-US"/>
        </w:rPr>
        <w:t>,</w:t>
      </w:r>
      <w:r w:rsidR="00B03AD4">
        <w:rPr>
          <w:lang w:val="en-US"/>
        </w:rPr>
        <w:t xml:space="preserve"> </w:t>
      </w:r>
      <w:r w:rsidR="00402750">
        <w:rPr>
          <w:lang w:val="en-US"/>
        </w:rPr>
        <w:t xml:space="preserve">infrastructure, </w:t>
      </w:r>
      <w:r w:rsidR="00B10D45">
        <w:rPr>
          <w:lang w:val="en-US"/>
        </w:rPr>
        <w:t xml:space="preserve">education, health, and </w:t>
      </w:r>
      <w:r w:rsidR="00B03AD4">
        <w:rPr>
          <w:lang w:val="en-US"/>
        </w:rPr>
        <w:t xml:space="preserve">water and sanitation. </w:t>
      </w:r>
      <w:r w:rsidR="00172FE4">
        <w:rPr>
          <w:lang w:val="en-US"/>
        </w:rPr>
        <w:t xml:space="preserve">Overall, the five loan-funded projects that received the highest amounts during that period were the </w:t>
      </w:r>
      <w:r w:rsidR="00A102CD">
        <w:rPr>
          <w:lang w:val="en-US"/>
        </w:rPr>
        <w:t>s</w:t>
      </w:r>
      <w:r w:rsidR="00172FE4">
        <w:rPr>
          <w:lang w:val="en-US"/>
        </w:rPr>
        <w:t>econd M</w:t>
      </w:r>
      <w:r w:rsidR="00172FE4" w:rsidRPr="00653257">
        <w:rPr>
          <w:lang w:val="en-US"/>
        </w:rPr>
        <w:t xml:space="preserve">arkets and </w:t>
      </w:r>
      <w:r w:rsidR="00172FE4">
        <w:rPr>
          <w:lang w:val="en-US"/>
        </w:rPr>
        <w:t>A</w:t>
      </w:r>
      <w:r w:rsidR="00172FE4" w:rsidRPr="00653257">
        <w:rPr>
          <w:lang w:val="en-US"/>
        </w:rPr>
        <w:t xml:space="preserve">gricultural </w:t>
      </w:r>
      <w:r w:rsidR="00172FE4">
        <w:rPr>
          <w:lang w:val="en-US"/>
        </w:rPr>
        <w:t>T</w:t>
      </w:r>
      <w:r w:rsidR="00172FE4" w:rsidRPr="00653257">
        <w:rPr>
          <w:lang w:val="en-US"/>
        </w:rPr>
        <w:t xml:space="preserve">rade </w:t>
      </w:r>
      <w:r w:rsidR="00172FE4">
        <w:rPr>
          <w:lang w:val="en-US"/>
        </w:rPr>
        <w:t>I</w:t>
      </w:r>
      <w:r w:rsidR="00172FE4" w:rsidRPr="00653257">
        <w:rPr>
          <w:lang w:val="en-US"/>
        </w:rPr>
        <w:t xml:space="preserve">mprovement </w:t>
      </w:r>
      <w:proofErr w:type="spellStart"/>
      <w:r w:rsidR="00172FE4">
        <w:rPr>
          <w:lang w:val="en-US"/>
        </w:rPr>
        <w:t>P</w:t>
      </w:r>
      <w:r w:rsidR="00172FE4" w:rsidRPr="00653257">
        <w:rPr>
          <w:lang w:val="en-US"/>
        </w:rPr>
        <w:t>rogramme</w:t>
      </w:r>
      <w:proofErr w:type="spellEnd"/>
      <w:r w:rsidR="00C67530">
        <w:rPr>
          <w:lang w:val="en-US"/>
        </w:rPr>
        <w:t>,</w:t>
      </w:r>
      <w:r w:rsidR="00172FE4">
        <w:rPr>
          <w:rStyle w:val="EndnoteReference"/>
          <w:lang w:val="en-US"/>
        </w:rPr>
        <w:endnoteReference w:id="28"/>
      </w:r>
      <w:r w:rsidR="00172FE4" w:rsidRPr="00E81E8D">
        <w:rPr>
          <w:vertAlign w:val="superscript"/>
          <w:lang w:val="en-US"/>
        </w:rPr>
        <w:t>,</w:t>
      </w:r>
      <w:r w:rsidR="00172FE4">
        <w:rPr>
          <w:rStyle w:val="EndnoteReference"/>
          <w:lang w:val="en-US"/>
        </w:rPr>
        <w:endnoteReference w:id="29"/>
      </w:r>
      <w:r w:rsidR="00172FE4">
        <w:rPr>
          <w:lang w:val="en-US"/>
        </w:rPr>
        <w:t xml:space="preserve"> the </w:t>
      </w:r>
      <w:r w:rsidR="00172FE4" w:rsidRPr="00564F40">
        <w:rPr>
          <w:lang w:val="en-US"/>
        </w:rPr>
        <w:t xml:space="preserve">Water Supply and Sanitation </w:t>
      </w:r>
      <w:proofErr w:type="spellStart"/>
      <w:r w:rsidR="00172FE4" w:rsidRPr="00564F40">
        <w:rPr>
          <w:lang w:val="en-US"/>
        </w:rPr>
        <w:t>Programme</w:t>
      </w:r>
      <w:proofErr w:type="spellEnd"/>
      <w:r w:rsidR="00172FE4">
        <w:rPr>
          <w:lang w:val="en-US"/>
        </w:rPr>
        <w:t xml:space="preserve"> </w:t>
      </w:r>
      <w:r w:rsidR="00172FE4" w:rsidRPr="00564F40">
        <w:rPr>
          <w:lang w:val="en-US"/>
        </w:rPr>
        <w:t xml:space="preserve">Phase </w:t>
      </w:r>
      <w:r w:rsidR="00172FE4">
        <w:rPr>
          <w:lang w:val="en-US"/>
        </w:rPr>
        <w:t>2,</w:t>
      </w:r>
      <w:r w:rsidR="00172FE4">
        <w:rPr>
          <w:rStyle w:val="EndnoteReference"/>
          <w:lang w:val="en-US"/>
        </w:rPr>
        <w:endnoteReference w:id="30"/>
      </w:r>
      <w:r w:rsidR="00172FE4">
        <w:rPr>
          <w:lang w:val="en-US"/>
        </w:rPr>
        <w:t xml:space="preserve"> </w:t>
      </w:r>
      <w:r w:rsidR="00172FE4" w:rsidRPr="00564F40">
        <w:rPr>
          <w:lang w:val="en-US"/>
        </w:rPr>
        <w:t>Support to Higher Education, Science and Technology Project</w:t>
      </w:r>
      <w:r w:rsidR="00172FE4">
        <w:rPr>
          <w:lang w:val="en-US"/>
        </w:rPr>
        <w:t>,</w:t>
      </w:r>
      <w:r w:rsidR="00172FE4">
        <w:rPr>
          <w:rStyle w:val="EndnoteReference"/>
          <w:lang w:val="en-US"/>
        </w:rPr>
        <w:endnoteReference w:id="31"/>
      </w:r>
      <w:r w:rsidR="00172FE4">
        <w:rPr>
          <w:lang w:val="en-US"/>
        </w:rPr>
        <w:t xml:space="preserve"> the F</w:t>
      </w:r>
      <w:r w:rsidR="00172FE4" w:rsidRPr="00653257">
        <w:rPr>
          <w:lang w:val="en-US"/>
        </w:rPr>
        <w:t xml:space="preserve">arm </w:t>
      </w:r>
      <w:r w:rsidR="00172FE4">
        <w:rPr>
          <w:lang w:val="en-US"/>
        </w:rPr>
        <w:t>I</w:t>
      </w:r>
      <w:r w:rsidR="00172FE4" w:rsidRPr="00653257">
        <w:rPr>
          <w:lang w:val="en-US"/>
        </w:rPr>
        <w:t xml:space="preserve">ncome </w:t>
      </w:r>
      <w:r w:rsidR="00172FE4">
        <w:rPr>
          <w:lang w:val="en-US"/>
        </w:rPr>
        <w:t>E</w:t>
      </w:r>
      <w:r w:rsidR="00172FE4" w:rsidRPr="00653257">
        <w:rPr>
          <w:lang w:val="en-US"/>
        </w:rPr>
        <w:t xml:space="preserve">nhancement and </w:t>
      </w:r>
      <w:r w:rsidR="00172FE4">
        <w:rPr>
          <w:lang w:val="en-US"/>
        </w:rPr>
        <w:t>F</w:t>
      </w:r>
      <w:r w:rsidR="00172FE4" w:rsidRPr="00653257">
        <w:rPr>
          <w:lang w:val="en-US"/>
        </w:rPr>
        <w:t xml:space="preserve">orestry </w:t>
      </w:r>
      <w:r w:rsidR="00172FE4">
        <w:rPr>
          <w:lang w:val="en-US"/>
        </w:rPr>
        <w:t>C</w:t>
      </w:r>
      <w:r w:rsidR="00172FE4" w:rsidRPr="00653257">
        <w:rPr>
          <w:lang w:val="en-US"/>
        </w:rPr>
        <w:t xml:space="preserve">onservation </w:t>
      </w:r>
      <w:proofErr w:type="spellStart"/>
      <w:r w:rsidR="00172FE4">
        <w:rPr>
          <w:lang w:val="en-US"/>
        </w:rPr>
        <w:t>P</w:t>
      </w:r>
      <w:r w:rsidR="00172FE4" w:rsidRPr="00653257">
        <w:rPr>
          <w:lang w:val="en-US"/>
        </w:rPr>
        <w:t>rogramme</w:t>
      </w:r>
      <w:proofErr w:type="spellEnd"/>
      <w:r w:rsidR="00172FE4">
        <w:rPr>
          <w:lang w:val="en-US"/>
        </w:rPr>
        <w:t xml:space="preserve"> </w:t>
      </w:r>
      <w:r w:rsidR="00172FE4" w:rsidRPr="00653257">
        <w:rPr>
          <w:lang w:val="en-US"/>
        </w:rPr>
        <w:t>project 2</w:t>
      </w:r>
      <w:r w:rsidR="00172FE4">
        <w:rPr>
          <w:lang w:val="en-US"/>
        </w:rPr>
        <w:t>,</w:t>
      </w:r>
      <w:r w:rsidR="00172FE4">
        <w:rPr>
          <w:rStyle w:val="EndnoteReference"/>
          <w:lang w:val="en-US"/>
        </w:rPr>
        <w:endnoteReference w:id="32"/>
      </w:r>
      <w:r w:rsidR="00172FE4">
        <w:rPr>
          <w:lang w:val="en-US"/>
        </w:rPr>
        <w:t xml:space="preserve"> and the </w:t>
      </w:r>
      <w:r w:rsidR="00172FE4" w:rsidRPr="00564F40">
        <w:rPr>
          <w:lang w:val="en-US"/>
        </w:rPr>
        <w:t>Road Sector Support Project V</w:t>
      </w:r>
      <w:r w:rsidR="00172FE4">
        <w:rPr>
          <w:lang w:val="en-US"/>
        </w:rPr>
        <w:t>.</w:t>
      </w:r>
      <w:r w:rsidR="00172FE4">
        <w:rPr>
          <w:rStyle w:val="EndnoteReference"/>
          <w:lang w:val="en-US"/>
        </w:rPr>
        <w:endnoteReference w:id="33"/>
      </w:r>
      <w:r w:rsidR="00172FE4">
        <w:rPr>
          <w:lang w:val="en-US"/>
        </w:rPr>
        <w:t xml:space="preserve"> </w:t>
      </w:r>
      <w:r w:rsidR="00F473DA">
        <w:rPr>
          <w:lang w:val="en-US"/>
        </w:rPr>
        <w:t>Combined, t</w:t>
      </w:r>
      <w:r w:rsidR="00172FE4">
        <w:rPr>
          <w:lang w:val="en-US"/>
        </w:rPr>
        <w:t>hese projects were allocated US$246</w:t>
      </w:r>
      <w:r w:rsidR="00FE4D68">
        <w:rPr>
          <w:lang w:val="en-US"/>
        </w:rPr>
        <w:t>.1</w:t>
      </w:r>
      <w:r w:rsidR="00172FE4">
        <w:rPr>
          <w:lang w:val="en-US"/>
        </w:rPr>
        <w:t xml:space="preserve"> million </w:t>
      </w:r>
      <w:r w:rsidR="00A102CD">
        <w:rPr>
          <w:lang w:val="en-US"/>
        </w:rPr>
        <w:t>(</w:t>
      </w:r>
      <w:r w:rsidR="00172FE4">
        <w:rPr>
          <w:lang w:val="en-US"/>
        </w:rPr>
        <w:t>68% of total AfDB loans to Uganda for the period under review</w:t>
      </w:r>
      <w:r w:rsidR="00A102CD">
        <w:rPr>
          <w:lang w:val="en-US"/>
        </w:rPr>
        <w:t>)</w:t>
      </w:r>
      <w:r w:rsidR="00172FE4">
        <w:rPr>
          <w:lang w:val="en-US"/>
        </w:rPr>
        <w:t xml:space="preserve">. </w:t>
      </w:r>
    </w:p>
    <w:p w14:paraId="221F261D" w14:textId="0EA5CBC8" w:rsidR="007F059D" w:rsidRDefault="007F059D" w:rsidP="007F059D">
      <w:pPr>
        <w:pStyle w:val="FigureTitle"/>
        <w:rPr>
          <w:lang w:val="en-US"/>
        </w:rPr>
      </w:pPr>
      <w:r>
        <w:rPr>
          <w:lang w:val="en-US"/>
        </w:rPr>
        <w:t xml:space="preserve">Figure </w:t>
      </w:r>
      <w:r w:rsidR="00E7179F">
        <w:rPr>
          <w:lang w:val="en-US"/>
        </w:rPr>
        <w:t>8</w:t>
      </w:r>
      <w:r>
        <w:rPr>
          <w:lang w:val="en-US"/>
        </w:rPr>
        <w:t xml:space="preserve">: </w:t>
      </w:r>
      <w:r w:rsidR="00F473DA">
        <w:rPr>
          <w:lang w:val="en-US"/>
        </w:rPr>
        <w:t>Five highest-funded</w:t>
      </w:r>
      <w:r>
        <w:rPr>
          <w:lang w:val="en-US"/>
        </w:rPr>
        <w:t xml:space="preserve"> Af</w:t>
      </w:r>
      <w:r w:rsidR="006D2BB4">
        <w:rPr>
          <w:lang w:val="en-US"/>
        </w:rPr>
        <w:t xml:space="preserve">rican </w:t>
      </w:r>
      <w:r>
        <w:rPr>
          <w:lang w:val="en-US"/>
        </w:rPr>
        <w:t>D</w:t>
      </w:r>
      <w:r w:rsidR="006D2BB4">
        <w:rPr>
          <w:lang w:val="en-US"/>
        </w:rPr>
        <w:t xml:space="preserve">evelopment </w:t>
      </w:r>
      <w:r>
        <w:rPr>
          <w:lang w:val="en-US"/>
        </w:rPr>
        <w:t>B</w:t>
      </w:r>
      <w:r w:rsidR="006D2BB4">
        <w:rPr>
          <w:lang w:val="en-US"/>
        </w:rPr>
        <w:t>ank</w:t>
      </w:r>
      <w:r>
        <w:rPr>
          <w:lang w:val="en-US"/>
        </w:rPr>
        <w:t xml:space="preserve"> </w:t>
      </w:r>
      <w:r w:rsidR="00F473DA">
        <w:rPr>
          <w:lang w:val="en-US"/>
        </w:rPr>
        <w:t>loan-</w:t>
      </w:r>
      <w:r>
        <w:rPr>
          <w:lang w:val="en-US"/>
        </w:rPr>
        <w:t>financed projects</w:t>
      </w:r>
      <w:r w:rsidR="00F473DA">
        <w:rPr>
          <w:lang w:val="en-US"/>
        </w:rPr>
        <w:t>,</w:t>
      </w:r>
      <w:r>
        <w:rPr>
          <w:lang w:val="en-US"/>
        </w:rPr>
        <w:t xml:space="preserve"> </w:t>
      </w:r>
      <w:r w:rsidR="00F473DA">
        <w:rPr>
          <w:lang w:val="en-US"/>
        </w:rPr>
        <w:t xml:space="preserve">January </w:t>
      </w:r>
      <w:r>
        <w:rPr>
          <w:lang w:val="en-US"/>
        </w:rPr>
        <w:t xml:space="preserve">2018 </w:t>
      </w:r>
      <w:r w:rsidR="00F473DA">
        <w:rPr>
          <w:lang w:val="en-US"/>
        </w:rPr>
        <w:t xml:space="preserve">to June </w:t>
      </w:r>
      <w:r>
        <w:rPr>
          <w:lang w:val="en-US"/>
        </w:rPr>
        <w:t>2021</w:t>
      </w:r>
    </w:p>
    <w:p w14:paraId="3A930323" w14:textId="1804627A" w:rsidR="007F059D" w:rsidRDefault="007F059D" w:rsidP="00402750">
      <w:pPr>
        <w:rPr>
          <w:lang w:val="en-US"/>
        </w:rPr>
      </w:pPr>
      <w:r>
        <w:rPr>
          <w:noProof/>
        </w:rPr>
        <w:drawing>
          <wp:inline distT="0" distB="0" distL="0" distR="0" wp14:anchorId="08BB79AE" wp14:editId="2F732B82">
            <wp:extent cx="5036185" cy="2736850"/>
            <wp:effectExtent l="0" t="0" r="0" b="6350"/>
            <wp:docPr id="1" name="Chart 1" descr="Figure 8: A bar chart showing the top five projects funded by African Development Bank loans disbursed to Uganda from January 2018 to June 2021 in US$, million. Full data is available from Development Initiatives' datasets page.">
              <a:extLst xmlns:a="http://schemas.openxmlformats.org/drawingml/2006/main">
                <a:ext uri="{FF2B5EF4-FFF2-40B4-BE49-F238E27FC236}">
                  <a16:creationId xmlns:a16="http://schemas.microsoft.com/office/drawing/2014/main" id="{004E3EC7-862F-414A-86CF-A8B5332C9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5F5653" w14:textId="5AADD066" w:rsidR="00D77020" w:rsidRDefault="00D77020" w:rsidP="007F059D">
      <w:pPr>
        <w:pStyle w:val="Source"/>
        <w:rPr>
          <w:rFonts w:cstheme="minorHAnsi"/>
          <w:lang w:val="en-US"/>
        </w:rPr>
      </w:pPr>
      <w:r>
        <w:rPr>
          <w:rFonts w:cstheme="minorHAnsi"/>
          <w:lang w:val="en-US"/>
        </w:rPr>
        <w:t xml:space="preserve">Source: </w:t>
      </w:r>
      <w:r w:rsidRPr="00D77020">
        <w:rPr>
          <w:rFonts w:cstheme="minorHAnsi"/>
          <w:lang w:val="en-US"/>
        </w:rPr>
        <w:t>Development Initiatives sectoral analysis of African Development Bank loan disbursement published through IATI</w:t>
      </w:r>
      <w:r>
        <w:rPr>
          <w:rFonts w:cstheme="minorHAnsi"/>
          <w:lang w:val="en-US"/>
        </w:rPr>
        <w:t>.</w:t>
      </w:r>
    </w:p>
    <w:p w14:paraId="15B0553B" w14:textId="16013BC9" w:rsidR="007F059D" w:rsidRPr="0055490D" w:rsidRDefault="007F059D" w:rsidP="007F059D">
      <w:pPr>
        <w:pStyle w:val="Source"/>
        <w:rPr>
          <w:lang w:val="en-US"/>
        </w:rPr>
      </w:pPr>
      <w:r w:rsidRPr="0055490D">
        <w:rPr>
          <w:rFonts w:cstheme="minorHAnsi"/>
          <w:lang w:val="en-US"/>
        </w:rPr>
        <w:t xml:space="preserve">Note: </w:t>
      </w:r>
      <w:r w:rsidR="00107592" w:rsidRPr="0055490D">
        <w:rPr>
          <w:rFonts w:cstheme="minorHAnsi"/>
          <w:lang w:val="en-US"/>
        </w:rPr>
        <w:t>Data for 2021</w:t>
      </w:r>
      <w:r w:rsidR="00107592" w:rsidRPr="0055490D">
        <w:rPr>
          <w:lang w:val="en-US"/>
        </w:rPr>
        <w:t xml:space="preserve"> does not include all the loans that will be advanced this year</w:t>
      </w:r>
      <w:r w:rsidR="00107592">
        <w:rPr>
          <w:lang w:val="en-US"/>
        </w:rPr>
        <w:t>: only l</w:t>
      </w:r>
      <w:r w:rsidR="00107592" w:rsidRPr="0055490D">
        <w:rPr>
          <w:lang w:val="en-US"/>
        </w:rPr>
        <w:t xml:space="preserve">oans </w:t>
      </w:r>
      <w:r w:rsidR="00107592">
        <w:rPr>
          <w:lang w:val="en-US"/>
        </w:rPr>
        <w:t>made up to and including</w:t>
      </w:r>
      <w:r w:rsidR="00107592" w:rsidRPr="0055490D">
        <w:rPr>
          <w:lang w:val="en-US"/>
        </w:rPr>
        <w:t xml:space="preserve"> </w:t>
      </w:r>
      <w:r w:rsidR="00107592">
        <w:rPr>
          <w:lang w:val="en-US"/>
        </w:rPr>
        <w:t>June</w:t>
      </w:r>
      <w:r w:rsidR="00107592" w:rsidRPr="0055490D">
        <w:rPr>
          <w:lang w:val="en-US"/>
        </w:rPr>
        <w:t xml:space="preserve"> 2021</w:t>
      </w:r>
      <w:r w:rsidR="00107592">
        <w:rPr>
          <w:lang w:val="en-US"/>
        </w:rPr>
        <w:t xml:space="preserve"> were counted. </w:t>
      </w:r>
    </w:p>
    <w:p w14:paraId="168FB9C2" w14:textId="2E2E3BBE" w:rsidR="00172FE4" w:rsidRPr="00560F25" w:rsidRDefault="00172FE4" w:rsidP="00172FE4">
      <w:pPr>
        <w:pStyle w:val="Tabletext"/>
        <w:rPr>
          <w:sz w:val="20"/>
          <w:szCs w:val="20"/>
          <w:lang w:eastAsia="en-GB"/>
        </w:rPr>
      </w:pPr>
      <w:r w:rsidRPr="00560F25">
        <w:rPr>
          <w:sz w:val="20"/>
          <w:szCs w:val="20"/>
          <w:lang w:val="en-US"/>
        </w:rPr>
        <w:t xml:space="preserve">Other projects financed by the AfDB loans </w:t>
      </w:r>
      <w:r w:rsidR="003C42CE">
        <w:rPr>
          <w:sz w:val="20"/>
          <w:szCs w:val="20"/>
          <w:lang w:val="en-US"/>
        </w:rPr>
        <w:t>disbursed</w:t>
      </w:r>
      <w:r w:rsidR="003C42CE" w:rsidRPr="00560F25">
        <w:rPr>
          <w:sz w:val="20"/>
          <w:szCs w:val="20"/>
          <w:lang w:val="en-US"/>
        </w:rPr>
        <w:t xml:space="preserve"> </w:t>
      </w:r>
      <w:r w:rsidRPr="00560F25">
        <w:rPr>
          <w:sz w:val="20"/>
          <w:szCs w:val="20"/>
          <w:lang w:val="en-US"/>
        </w:rPr>
        <w:t>to Uganda</w:t>
      </w:r>
      <w:r w:rsidR="00A00664">
        <w:rPr>
          <w:sz w:val="20"/>
          <w:szCs w:val="20"/>
          <w:lang w:val="en-US"/>
        </w:rPr>
        <w:t xml:space="preserve"> between January 2018 and June 2021</w:t>
      </w:r>
      <w:r w:rsidRPr="00560F25">
        <w:rPr>
          <w:sz w:val="20"/>
          <w:szCs w:val="20"/>
          <w:lang w:val="en-US"/>
        </w:rPr>
        <w:t xml:space="preserve"> include US$29</w:t>
      </w:r>
      <w:r w:rsidR="00904BF0">
        <w:rPr>
          <w:sz w:val="20"/>
          <w:szCs w:val="20"/>
          <w:lang w:val="en-US"/>
        </w:rPr>
        <w:t>.2</w:t>
      </w:r>
      <w:r w:rsidRPr="00560F25">
        <w:rPr>
          <w:sz w:val="20"/>
          <w:szCs w:val="20"/>
          <w:lang w:val="en-US"/>
        </w:rPr>
        <w:t xml:space="preserve"> million to</w:t>
      </w:r>
      <w:r w:rsidR="0014083F">
        <w:rPr>
          <w:sz w:val="20"/>
          <w:szCs w:val="20"/>
          <w:lang w:val="en-US"/>
        </w:rPr>
        <w:t xml:space="preserve"> the</w:t>
      </w:r>
      <w:r w:rsidRPr="00560F25">
        <w:rPr>
          <w:sz w:val="20"/>
          <w:szCs w:val="20"/>
          <w:lang w:val="en-US"/>
        </w:rPr>
        <w:t xml:space="preserve"> </w:t>
      </w:r>
      <w:r w:rsidRPr="00560F25">
        <w:rPr>
          <w:sz w:val="20"/>
          <w:szCs w:val="20"/>
          <w:lang w:eastAsia="en-GB"/>
        </w:rPr>
        <w:t>Uganda Rural Electricity Access Project, US$2</w:t>
      </w:r>
      <w:r w:rsidR="00904BF0">
        <w:rPr>
          <w:sz w:val="20"/>
          <w:szCs w:val="20"/>
          <w:lang w:eastAsia="en-GB"/>
        </w:rPr>
        <w:t>4.7</w:t>
      </w:r>
      <w:r w:rsidRPr="00560F25">
        <w:rPr>
          <w:sz w:val="20"/>
          <w:szCs w:val="20"/>
          <w:lang w:eastAsia="en-GB"/>
        </w:rPr>
        <w:t xml:space="preserve"> million to</w:t>
      </w:r>
      <w:r w:rsidR="00A102CD">
        <w:rPr>
          <w:sz w:val="20"/>
          <w:szCs w:val="20"/>
          <w:lang w:eastAsia="en-GB"/>
        </w:rPr>
        <w:t xml:space="preserve"> the</w:t>
      </w:r>
      <w:r w:rsidRPr="00560F25">
        <w:rPr>
          <w:sz w:val="20"/>
          <w:szCs w:val="20"/>
          <w:lang w:eastAsia="en-GB"/>
        </w:rPr>
        <w:t xml:space="preserve"> Supplementary Loan to Kampala Sanitation Program, </w:t>
      </w:r>
      <w:r w:rsidRPr="00560F25">
        <w:rPr>
          <w:sz w:val="20"/>
          <w:szCs w:val="20"/>
          <w:lang w:val="en-US"/>
        </w:rPr>
        <w:t>US$24</w:t>
      </w:r>
      <w:r w:rsidR="005D6A86">
        <w:rPr>
          <w:sz w:val="20"/>
          <w:szCs w:val="20"/>
          <w:lang w:val="en-US"/>
        </w:rPr>
        <w:t>.3</w:t>
      </w:r>
      <w:r w:rsidRPr="00560F25">
        <w:rPr>
          <w:sz w:val="20"/>
          <w:szCs w:val="20"/>
          <w:lang w:val="en-US"/>
        </w:rPr>
        <w:t xml:space="preserve"> million to </w:t>
      </w:r>
      <w:r w:rsidRPr="00560F25">
        <w:rPr>
          <w:sz w:val="20"/>
          <w:szCs w:val="20"/>
          <w:lang w:eastAsia="en-GB"/>
        </w:rPr>
        <w:t>Road Sector Support Project IV</w:t>
      </w:r>
      <w:r w:rsidRPr="00560F25">
        <w:rPr>
          <w:sz w:val="20"/>
          <w:szCs w:val="20"/>
          <w:lang w:val="en-US"/>
        </w:rPr>
        <w:t>, US$19</w:t>
      </w:r>
      <w:r w:rsidR="005D6A86">
        <w:rPr>
          <w:sz w:val="20"/>
          <w:szCs w:val="20"/>
          <w:lang w:val="en-US"/>
        </w:rPr>
        <w:t>.0</w:t>
      </w:r>
      <w:r w:rsidRPr="00560F25">
        <w:rPr>
          <w:sz w:val="20"/>
          <w:szCs w:val="20"/>
          <w:lang w:val="en-US"/>
        </w:rPr>
        <w:t xml:space="preserve"> million to </w:t>
      </w:r>
      <w:r w:rsidRPr="00560F25">
        <w:rPr>
          <w:sz w:val="20"/>
          <w:szCs w:val="20"/>
          <w:lang w:eastAsia="en-GB"/>
        </w:rPr>
        <w:t>Improvement of Health Services Delivery at Mulago Hospital and in the City of Kampala Project, US$8</w:t>
      </w:r>
      <w:r w:rsidR="005D6A86">
        <w:rPr>
          <w:sz w:val="20"/>
          <w:szCs w:val="20"/>
          <w:lang w:eastAsia="en-GB"/>
        </w:rPr>
        <w:t>.3</w:t>
      </w:r>
      <w:r w:rsidRPr="00560F25">
        <w:rPr>
          <w:sz w:val="20"/>
          <w:szCs w:val="20"/>
          <w:lang w:eastAsia="en-GB"/>
        </w:rPr>
        <w:t xml:space="preserve"> million </w:t>
      </w:r>
      <w:r w:rsidRPr="00560F25">
        <w:rPr>
          <w:sz w:val="20"/>
          <w:szCs w:val="20"/>
          <w:lang w:eastAsia="en-GB"/>
        </w:rPr>
        <w:lastRenderedPageBreak/>
        <w:t>to Strategic Towns Water Supply and Sanitation Project, US$3</w:t>
      </w:r>
      <w:r w:rsidR="005D6A86">
        <w:rPr>
          <w:sz w:val="20"/>
          <w:szCs w:val="20"/>
          <w:lang w:eastAsia="en-GB"/>
        </w:rPr>
        <w:t>.2</w:t>
      </w:r>
      <w:r w:rsidRPr="00560F25">
        <w:rPr>
          <w:sz w:val="20"/>
          <w:szCs w:val="20"/>
          <w:lang w:eastAsia="en-GB"/>
        </w:rPr>
        <w:t xml:space="preserve"> million to The Kampala Sanitation Program</w:t>
      </w:r>
      <w:r w:rsidR="001045D5">
        <w:rPr>
          <w:sz w:val="20"/>
          <w:szCs w:val="20"/>
          <w:lang w:eastAsia="en-GB"/>
        </w:rPr>
        <w:t>me</w:t>
      </w:r>
      <w:r w:rsidRPr="00560F25">
        <w:rPr>
          <w:sz w:val="20"/>
          <w:szCs w:val="20"/>
          <w:lang w:eastAsia="en-GB"/>
        </w:rPr>
        <w:t xml:space="preserve"> – Phase I, US$2</w:t>
      </w:r>
      <w:r w:rsidR="005D6A86">
        <w:rPr>
          <w:sz w:val="20"/>
          <w:szCs w:val="20"/>
          <w:lang w:eastAsia="en-GB"/>
        </w:rPr>
        <w:t>.0</w:t>
      </w:r>
      <w:r w:rsidRPr="00560F25">
        <w:rPr>
          <w:sz w:val="20"/>
          <w:szCs w:val="20"/>
          <w:lang w:eastAsia="en-GB"/>
        </w:rPr>
        <w:t xml:space="preserve"> million to </w:t>
      </w:r>
      <w:r w:rsidR="005D6A86">
        <w:rPr>
          <w:sz w:val="20"/>
          <w:szCs w:val="20"/>
          <w:lang w:eastAsia="en-GB"/>
        </w:rPr>
        <w:t>t</w:t>
      </w:r>
      <w:r w:rsidRPr="00560F25">
        <w:rPr>
          <w:sz w:val="20"/>
          <w:szCs w:val="20"/>
          <w:lang w:eastAsia="en-GB"/>
        </w:rPr>
        <w:t xml:space="preserve">he Mbarara </w:t>
      </w:r>
      <w:proofErr w:type="spellStart"/>
      <w:r w:rsidRPr="00560F25">
        <w:rPr>
          <w:sz w:val="20"/>
          <w:szCs w:val="20"/>
          <w:lang w:eastAsia="en-GB"/>
        </w:rPr>
        <w:t>Nkenda</w:t>
      </w:r>
      <w:proofErr w:type="spellEnd"/>
      <w:r w:rsidRPr="00560F25">
        <w:rPr>
          <w:sz w:val="20"/>
          <w:szCs w:val="20"/>
          <w:lang w:eastAsia="en-GB"/>
        </w:rPr>
        <w:t xml:space="preserve"> &amp; Tororo Lira Power Transmission Lines Project, US$</w:t>
      </w:r>
      <w:r w:rsidR="005D6A86">
        <w:rPr>
          <w:sz w:val="20"/>
          <w:szCs w:val="20"/>
          <w:lang w:eastAsia="en-GB"/>
        </w:rPr>
        <w:t>1.7</w:t>
      </w:r>
      <w:r w:rsidRPr="00560F25">
        <w:rPr>
          <w:sz w:val="20"/>
          <w:szCs w:val="20"/>
          <w:lang w:eastAsia="en-GB"/>
        </w:rPr>
        <w:t xml:space="preserve"> million to Agricultural Value Chain Development Programme Project I, US$1.4 million to Community Agricultural Infrastructure, and US$1.2 million to Water Supply and Sanitation Programme. Details on how these loans were allocated by year is presented in </w:t>
      </w:r>
      <w:hyperlink w:anchor="TabA2" w:history="1">
        <w:r w:rsidRPr="00A54339">
          <w:rPr>
            <w:rStyle w:val="Hyperlink"/>
            <w:sz w:val="20"/>
            <w:szCs w:val="20"/>
            <w:lang w:eastAsia="en-GB"/>
          </w:rPr>
          <w:t>Annex table A2</w:t>
        </w:r>
      </w:hyperlink>
      <w:r w:rsidRPr="00560F25">
        <w:rPr>
          <w:sz w:val="20"/>
          <w:szCs w:val="20"/>
          <w:lang w:eastAsia="en-GB"/>
        </w:rPr>
        <w:t>.</w:t>
      </w:r>
    </w:p>
    <w:p w14:paraId="54DAAD48" w14:textId="1654D36A" w:rsidR="00172FE4" w:rsidRDefault="00172FE4" w:rsidP="00C93132">
      <w:pPr>
        <w:pStyle w:val="Heading4"/>
        <w:rPr>
          <w:lang w:val="en-US"/>
        </w:rPr>
      </w:pPr>
      <w:r>
        <w:rPr>
          <w:lang w:val="en-US"/>
        </w:rPr>
        <w:t>2020 breakdown</w:t>
      </w:r>
    </w:p>
    <w:p w14:paraId="39147D30" w14:textId="62623D9F" w:rsidR="00172FE4" w:rsidRDefault="00172FE4" w:rsidP="00172FE4">
      <w:pPr>
        <w:rPr>
          <w:lang w:val="en-US"/>
        </w:rPr>
      </w:pPr>
      <w:r>
        <w:rPr>
          <w:lang w:val="en-US"/>
        </w:rPr>
        <w:t xml:space="preserve">In 2020 the AfDB disbursed to Uganda US$101.1 million </w:t>
      </w:r>
      <w:r w:rsidR="005E1B34">
        <w:rPr>
          <w:lang w:val="en-US"/>
        </w:rPr>
        <w:t>allocated to 11 projects</w:t>
      </w:r>
      <w:r w:rsidR="006D2BB4">
        <w:rPr>
          <w:lang w:val="en-US"/>
        </w:rPr>
        <w:t>,</w:t>
      </w:r>
      <w:r w:rsidR="005E1B34">
        <w:rPr>
          <w:lang w:val="en-US"/>
        </w:rPr>
        <w:t xml:space="preserve"> </w:t>
      </w:r>
      <w:r>
        <w:rPr>
          <w:lang w:val="en-US"/>
        </w:rPr>
        <w:t>of which the</w:t>
      </w:r>
      <w:r w:rsidR="005E1B34">
        <w:rPr>
          <w:lang w:val="en-US"/>
        </w:rPr>
        <w:t xml:space="preserve"> top </w:t>
      </w:r>
      <w:r w:rsidR="00FA192D">
        <w:rPr>
          <w:lang w:val="en-US"/>
        </w:rPr>
        <w:t>three</w:t>
      </w:r>
      <w:r w:rsidR="005E1B34">
        <w:rPr>
          <w:lang w:val="en-US"/>
        </w:rPr>
        <w:t xml:space="preserve"> recipients were</w:t>
      </w:r>
      <w:r>
        <w:rPr>
          <w:lang w:val="en-US"/>
        </w:rPr>
        <w:t xml:space="preserve"> </w:t>
      </w:r>
      <w:r w:rsidR="005E1B34">
        <w:rPr>
          <w:lang w:val="en-US"/>
        </w:rPr>
        <w:t xml:space="preserve">the </w:t>
      </w:r>
      <w:r w:rsidR="005E1B34" w:rsidRPr="00446F02">
        <w:rPr>
          <w:lang w:val="en-US"/>
        </w:rPr>
        <w:t xml:space="preserve">Water Supply and Sanitation </w:t>
      </w:r>
      <w:proofErr w:type="spellStart"/>
      <w:r w:rsidR="005E1B34" w:rsidRPr="00446F02">
        <w:rPr>
          <w:lang w:val="en-US"/>
        </w:rPr>
        <w:t>Programme</w:t>
      </w:r>
      <w:proofErr w:type="spellEnd"/>
      <w:r w:rsidR="005E1B34" w:rsidRPr="00446F02">
        <w:rPr>
          <w:lang w:val="en-US"/>
        </w:rPr>
        <w:t xml:space="preserve"> Phase </w:t>
      </w:r>
      <w:r w:rsidR="007613E8">
        <w:rPr>
          <w:lang w:val="en-US"/>
        </w:rPr>
        <w:t>2</w:t>
      </w:r>
      <w:r w:rsidR="005E1B34">
        <w:rPr>
          <w:lang w:val="en-US"/>
        </w:rPr>
        <w:t xml:space="preserve"> project </w:t>
      </w:r>
      <w:r w:rsidR="006D2BB4">
        <w:rPr>
          <w:lang w:val="en-US"/>
        </w:rPr>
        <w:t>(</w:t>
      </w:r>
      <w:r w:rsidR="005E1B34">
        <w:rPr>
          <w:lang w:val="en-US"/>
        </w:rPr>
        <w:t xml:space="preserve">allocated </w:t>
      </w:r>
      <w:r>
        <w:rPr>
          <w:lang w:val="en-US"/>
        </w:rPr>
        <w:t>US$19.7 million</w:t>
      </w:r>
      <w:r w:rsidR="007613E8">
        <w:rPr>
          <w:lang w:val="en-US"/>
        </w:rPr>
        <w:t>, 19% of the total for that year</w:t>
      </w:r>
      <w:r w:rsidR="006D2BB4">
        <w:rPr>
          <w:lang w:val="en-US"/>
        </w:rPr>
        <w:t>)</w:t>
      </w:r>
      <w:r>
        <w:rPr>
          <w:lang w:val="en-US"/>
        </w:rPr>
        <w:t xml:space="preserve">, followed by </w:t>
      </w:r>
      <w:r w:rsidR="005E1B34">
        <w:rPr>
          <w:lang w:val="en-US"/>
        </w:rPr>
        <w:t xml:space="preserve">the </w:t>
      </w:r>
      <w:r w:rsidR="005E1B34" w:rsidRPr="00446F02">
        <w:rPr>
          <w:lang w:val="en-US"/>
        </w:rPr>
        <w:t xml:space="preserve">Markets and Agricultural Trade Improvement </w:t>
      </w:r>
      <w:proofErr w:type="spellStart"/>
      <w:r w:rsidR="005E1B34" w:rsidRPr="00446F02">
        <w:rPr>
          <w:lang w:val="en-US"/>
        </w:rPr>
        <w:t>Programme</w:t>
      </w:r>
      <w:proofErr w:type="spellEnd"/>
      <w:r w:rsidR="005E1B34" w:rsidRPr="00446F02">
        <w:rPr>
          <w:lang w:val="en-US"/>
        </w:rPr>
        <w:t xml:space="preserve">: Project – 2 (MATIP </w:t>
      </w:r>
      <w:r w:rsidR="005E1B34">
        <w:rPr>
          <w:lang w:val="en-US"/>
        </w:rPr>
        <w:t>II</w:t>
      </w:r>
      <w:r w:rsidR="005E1B34" w:rsidRPr="00446F02">
        <w:rPr>
          <w:lang w:val="en-US"/>
        </w:rPr>
        <w:t>)</w:t>
      </w:r>
      <w:r w:rsidR="005E1B34">
        <w:rPr>
          <w:lang w:val="en-US"/>
        </w:rPr>
        <w:t xml:space="preserve"> allocated </w:t>
      </w:r>
      <w:r>
        <w:rPr>
          <w:lang w:val="en-US"/>
        </w:rPr>
        <w:t>US$18.1 million or 18%</w:t>
      </w:r>
      <w:r w:rsidR="006D2BB4">
        <w:rPr>
          <w:lang w:val="en-US"/>
        </w:rPr>
        <w:t>),</w:t>
      </w:r>
      <w:r>
        <w:rPr>
          <w:lang w:val="en-US"/>
        </w:rPr>
        <w:t xml:space="preserve"> </w:t>
      </w:r>
      <w:r w:rsidR="005E1B34">
        <w:rPr>
          <w:lang w:val="en-US"/>
        </w:rPr>
        <w:t>and the</w:t>
      </w:r>
      <w:r w:rsidR="00D404FF">
        <w:rPr>
          <w:lang w:val="en-US"/>
        </w:rPr>
        <w:t xml:space="preserve"> </w:t>
      </w:r>
      <w:r w:rsidR="005E1B34" w:rsidRPr="001B270C">
        <w:rPr>
          <w:lang w:val="en-US"/>
        </w:rPr>
        <w:t>Uganda Rural Electricity Access Project</w:t>
      </w:r>
      <w:r w:rsidR="005E1B34">
        <w:rPr>
          <w:lang w:val="en-US"/>
        </w:rPr>
        <w:t xml:space="preserve"> </w:t>
      </w:r>
      <w:r w:rsidR="006D2BB4">
        <w:rPr>
          <w:lang w:val="en-US"/>
        </w:rPr>
        <w:t>(</w:t>
      </w:r>
      <w:r w:rsidR="005E1B34">
        <w:rPr>
          <w:lang w:val="en-US"/>
        </w:rPr>
        <w:t xml:space="preserve">allocated </w:t>
      </w:r>
      <w:r>
        <w:rPr>
          <w:lang w:val="en-US"/>
        </w:rPr>
        <w:t>US$11.7</w:t>
      </w:r>
      <w:r w:rsidR="007613E8">
        <w:rPr>
          <w:lang w:val="en-US"/>
        </w:rPr>
        <w:t xml:space="preserve"> million</w:t>
      </w:r>
      <w:r>
        <w:rPr>
          <w:lang w:val="en-US"/>
        </w:rPr>
        <w:t xml:space="preserve"> or 12%</w:t>
      </w:r>
      <w:r w:rsidR="006D2BB4">
        <w:rPr>
          <w:lang w:val="en-US"/>
        </w:rPr>
        <w:t>)</w:t>
      </w:r>
      <w:r w:rsidR="00D404FF">
        <w:rPr>
          <w:lang w:val="en-US"/>
        </w:rPr>
        <w:t xml:space="preserve">. The rest of the </w:t>
      </w:r>
      <w:r w:rsidR="006D2BB4">
        <w:rPr>
          <w:lang w:val="en-US"/>
        </w:rPr>
        <w:t>eight</w:t>
      </w:r>
      <w:r>
        <w:rPr>
          <w:lang w:val="en-US"/>
        </w:rPr>
        <w:t xml:space="preserve"> projects funded by</w:t>
      </w:r>
      <w:r w:rsidR="00A52ADA">
        <w:rPr>
          <w:lang w:val="en-US"/>
        </w:rPr>
        <w:t xml:space="preserve"> the</w:t>
      </w:r>
      <w:r>
        <w:rPr>
          <w:lang w:val="en-US"/>
        </w:rPr>
        <w:t xml:space="preserve"> AfDB in 2020 received a combined sum of US$</w:t>
      </w:r>
      <w:r w:rsidR="008317F5">
        <w:rPr>
          <w:lang w:val="en-US"/>
        </w:rPr>
        <w:t>51.6</w:t>
      </w:r>
      <w:r>
        <w:rPr>
          <w:lang w:val="en-US"/>
        </w:rPr>
        <w:t xml:space="preserve"> million </w:t>
      </w:r>
      <w:r w:rsidR="00975515">
        <w:rPr>
          <w:lang w:val="en-US"/>
        </w:rPr>
        <w:t>(</w:t>
      </w:r>
      <w:r w:rsidR="008317F5">
        <w:rPr>
          <w:lang w:val="en-US"/>
        </w:rPr>
        <w:t>5</w:t>
      </w:r>
      <w:r>
        <w:rPr>
          <w:lang w:val="en-US"/>
        </w:rPr>
        <w:t>0% of total loans disbursed in 2020</w:t>
      </w:r>
      <w:r w:rsidR="00975515">
        <w:rPr>
          <w:lang w:val="en-US"/>
        </w:rPr>
        <w:t>)</w:t>
      </w:r>
      <w:r>
        <w:rPr>
          <w:lang w:val="en-US"/>
        </w:rPr>
        <w:t>.</w:t>
      </w:r>
    </w:p>
    <w:p w14:paraId="7BB27BCC" w14:textId="68835F7A" w:rsidR="00172FE4" w:rsidRDefault="00172FE4" w:rsidP="00C93132">
      <w:pPr>
        <w:pStyle w:val="Heading4"/>
        <w:rPr>
          <w:lang w:val="en-US"/>
        </w:rPr>
      </w:pPr>
      <w:r>
        <w:rPr>
          <w:lang w:val="en-US"/>
        </w:rPr>
        <w:t>2019 breakdown</w:t>
      </w:r>
    </w:p>
    <w:p w14:paraId="62136284" w14:textId="68C6F0D6" w:rsidR="00172FE4" w:rsidRDefault="00172FE4" w:rsidP="00172FE4">
      <w:pPr>
        <w:rPr>
          <w:lang w:val="en-US"/>
        </w:rPr>
      </w:pPr>
      <w:r>
        <w:rPr>
          <w:lang w:val="en-US"/>
        </w:rPr>
        <w:t>In 2019 the AfDB disbursed US$129.5 million to Uganda</w:t>
      </w:r>
      <w:r w:rsidR="00FA192D">
        <w:rPr>
          <w:lang w:val="en-US"/>
        </w:rPr>
        <w:t>. T</w:t>
      </w:r>
      <w:r>
        <w:rPr>
          <w:lang w:val="en-US"/>
        </w:rPr>
        <w:t>h</w:t>
      </w:r>
      <w:r w:rsidR="00727E60">
        <w:rPr>
          <w:lang w:val="en-US"/>
        </w:rPr>
        <w:t>is</w:t>
      </w:r>
      <w:r>
        <w:rPr>
          <w:lang w:val="en-US"/>
        </w:rPr>
        <w:t xml:space="preserve"> was allocated to 12 projects</w:t>
      </w:r>
      <w:r w:rsidR="004B334B">
        <w:rPr>
          <w:lang w:val="en-US"/>
        </w:rPr>
        <w:t>,</w:t>
      </w:r>
      <w:r>
        <w:rPr>
          <w:lang w:val="en-US"/>
        </w:rPr>
        <w:t xml:space="preserve"> </w:t>
      </w:r>
      <w:r w:rsidR="00FA192D">
        <w:rPr>
          <w:lang w:val="en-US"/>
        </w:rPr>
        <w:t>of which</w:t>
      </w:r>
      <w:r>
        <w:rPr>
          <w:lang w:val="en-US"/>
        </w:rPr>
        <w:t xml:space="preserve"> the</w:t>
      </w:r>
      <w:r w:rsidR="004B334B">
        <w:rPr>
          <w:lang w:val="en-US"/>
        </w:rPr>
        <w:t xml:space="preserve"> top </w:t>
      </w:r>
      <w:r w:rsidR="00FA192D">
        <w:rPr>
          <w:lang w:val="en-US"/>
        </w:rPr>
        <w:t>three</w:t>
      </w:r>
      <w:r w:rsidR="004B334B">
        <w:rPr>
          <w:lang w:val="en-US"/>
        </w:rPr>
        <w:t xml:space="preserve"> recipients were </w:t>
      </w:r>
      <w:r>
        <w:rPr>
          <w:lang w:val="en-US"/>
        </w:rPr>
        <w:t xml:space="preserve">the </w:t>
      </w:r>
      <w:r w:rsidRPr="00530EC4">
        <w:rPr>
          <w:lang w:val="en-US"/>
        </w:rPr>
        <w:t xml:space="preserve">Water Supply and Sanitation </w:t>
      </w:r>
      <w:proofErr w:type="spellStart"/>
      <w:r w:rsidRPr="00530EC4">
        <w:rPr>
          <w:lang w:val="en-US"/>
        </w:rPr>
        <w:t>Programme</w:t>
      </w:r>
      <w:proofErr w:type="spellEnd"/>
      <w:r w:rsidRPr="00530EC4">
        <w:rPr>
          <w:lang w:val="en-US"/>
        </w:rPr>
        <w:t xml:space="preserve"> Phase II</w:t>
      </w:r>
      <w:r w:rsidR="00FA192D">
        <w:rPr>
          <w:lang w:val="en-US"/>
        </w:rPr>
        <w:t xml:space="preserve"> (allocated US$22.6 million, 17% of the total for that year)</w:t>
      </w:r>
      <w:r>
        <w:rPr>
          <w:lang w:val="en-US"/>
        </w:rPr>
        <w:t xml:space="preserve">, followed by </w:t>
      </w:r>
      <w:r w:rsidRPr="00530EC4">
        <w:rPr>
          <w:lang w:val="en-US"/>
        </w:rPr>
        <w:t xml:space="preserve">MATIP </w:t>
      </w:r>
      <w:r>
        <w:rPr>
          <w:lang w:val="en-US"/>
        </w:rPr>
        <w:t>II</w:t>
      </w:r>
      <w:r w:rsidR="00FA192D">
        <w:rPr>
          <w:lang w:val="en-US"/>
        </w:rPr>
        <w:t xml:space="preserve"> (allocated US$21.8 million, or 17%), and the </w:t>
      </w:r>
      <w:r w:rsidRPr="00530EC4">
        <w:rPr>
          <w:lang w:val="en-US"/>
        </w:rPr>
        <w:t xml:space="preserve">Farm Income Enhancement and Forestry Conservation </w:t>
      </w:r>
      <w:proofErr w:type="spellStart"/>
      <w:r w:rsidRPr="00530EC4">
        <w:rPr>
          <w:lang w:val="en-US"/>
        </w:rPr>
        <w:t>Programme</w:t>
      </w:r>
      <w:proofErr w:type="spellEnd"/>
      <w:r w:rsidRPr="00530EC4">
        <w:rPr>
          <w:lang w:val="en-US"/>
        </w:rPr>
        <w:t xml:space="preserve"> project 2</w:t>
      </w:r>
      <w:r w:rsidR="00FA192D">
        <w:rPr>
          <w:lang w:val="en-US"/>
        </w:rPr>
        <w:t xml:space="preserve"> (US$21.6 million, or 17%)</w:t>
      </w:r>
      <w:r>
        <w:rPr>
          <w:lang w:val="en-US"/>
        </w:rPr>
        <w:t xml:space="preserve">. The rest of the </w:t>
      </w:r>
      <w:r w:rsidR="007F108B">
        <w:rPr>
          <w:lang w:val="en-US"/>
        </w:rPr>
        <w:t>nine</w:t>
      </w:r>
      <w:r>
        <w:rPr>
          <w:lang w:val="en-US"/>
        </w:rPr>
        <w:t xml:space="preserve"> AfDB projects in 2019 were allocated a combined US$</w:t>
      </w:r>
      <w:r w:rsidR="004A376D">
        <w:rPr>
          <w:lang w:val="en-US"/>
        </w:rPr>
        <w:t>63.5</w:t>
      </w:r>
      <w:r>
        <w:rPr>
          <w:lang w:val="en-US"/>
        </w:rPr>
        <w:t xml:space="preserve"> million </w:t>
      </w:r>
      <w:r w:rsidR="007F108B">
        <w:rPr>
          <w:lang w:val="en-US"/>
        </w:rPr>
        <w:t>(</w:t>
      </w:r>
      <w:r w:rsidR="004A376D">
        <w:rPr>
          <w:lang w:val="en-US"/>
        </w:rPr>
        <w:t>49</w:t>
      </w:r>
      <w:r>
        <w:rPr>
          <w:lang w:val="en-US"/>
        </w:rPr>
        <w:t xml:space="preserve">% of the disbursed loans for </w:t>
      </w:r>
      <w:r w:rsidR="005613BF">
        <w:rPr>
          <w:lang w:val="en-US"/>
        </w:rPr>
        <w:t>the year</w:t>
      </w:r>
      <w:r w:rsidR="007F108B">
        <w:rPr>
          <w:lang w:val="en-US"/>
        </w:rPr>
        <w:t>)</w:t>
      </w:r>
      <w:r>
        <w:rPr>
          <w:lang w:val="en-US"/>
        </w:rPr>
        <w:t>.</w:t>
      </w:r>
    </w:p>
    <w:p w14:paraId="3CC74CCC" w14:textId="3874EE47" w:rsidR="00172FE4" w:rsidRDefault="00172FE4" w:rsidP="00C93132">
      <w:pPr>
        <w:pStyle w:val="Heading4"/>
        <w:rPr>
          <w:lang w:val="en-US"/>
        </w:rPr>
      </w:pPr>
      <w:r>
        <w:rPr>
          <w:lang w:val="en-US"/>
        </w:rPr>
        <w:t>2018 breakdown</w:t>
      </w:r>
    </w:p>
    <w:p w14:paraId="7B429C63" w14:textId="300E7C48" w:rsidR="007F059D" w:rsidRDefault="00172FE4" w:rsidP="00402750">
      <w:pPr>
        <w:rPr>
          <w:lang w:val="en-US"/>
        </w:rPr>
      </w:pPr>
      <w:r>
        <w:rPr>
          <w:lang w:val="en-US"/>
        </w:rPr>
        <w:t>Most (US$130.5 million) of the AfDB loans disbursed in the period under review came in 2018. The</w:t>
      </w:r>
      <w:r w:rsidR="00343A69">
        <w:rPr>
          <w:lang w:val="en-US"/>
        </w:rPr>
        <w:t xml:space="preserve"> three</w:t>
      </w:r>
      <w:r>
        <w:rPr>
          <w:lang w:val="en-US"/>
        </w:rPr>
        <w:t xml:space="preserve"> </w:t>
      </w:r>
      <w:r w:rsidR="00343A69">
        <w:rPr>
          <w:lang w:val="en-US"/>
        </w:rPr>
        <w:t xml:space="preserve">top funded projects were the </w:t>
      </w:r>
      <w:r w:rsidR="00343A69" w:rsidRPr="00F84434">
        <w:rPr>
          <w:lang w:val="en-US"/>
        </w:rPr>
        <w:t>Support to Higher Education, Science and Technology Project</w:t>
      </w:r>
      <w:r w:rsidR="00343A69">
        <w:rPr>
          <w:lang w:val="en-US"/>
        </w:rPr>
        <w:t xml:space="preserve"> </w:t>
      </w:r>
      <w:r w:rsidR="007F108B">
        <w:rPr>
          <w:lang w:val="en-US"/>
        </w:rPr>
        <w:t>(</w:t>
      </w:r>
      <w:r w:rsidR="00343A69">
        <w:rPr>
          <w:lang w:val="en-US"/>
        </w:rPr>
        <w:t xml:space="preserve">allocated </w:t>
      </w:r>
      <w:r>
        <w:rPr>
          <w:lang w:val="en-US"/>
        </w:rPr>
        <w:t>US$29.1 million</w:t>
      </w:r>
      <w:r w:rsidR="005613BF">
        <w:rPr>
          <w:lang w:val="en-US"/>
        </w:rPr>
        <w:t>,</w:t>
      </w:r>
      <w:r>
        <w:rPr>
          <w:lang w:val="en-US"/>
        </w:rPr>
        <w:t xml:space="preserve"> 22</w:t>
      </w:r>
      <w:r w:rsidR="00735C51">
        <w:rPr>
          <w:lang w:val="en-US"/>
        </w:rPr>
        <w:t>%</w:t>
      </w:r>
      <w:r w:rsidR="005613BF">
        <w:rPr>
          <w:lang w:val="en-US"/>
        </w:rPr>
        <w:t xml:space="preserve"> of the total for that year</w:t>
      </w:r>
      <w:r w:rsidR="007F108B">
        <w:rPr>
          <w:lang w:val="en-US"/>
        </w:rPr>
        <w:t>)</w:t>
      </w:r>
      <w:r>
        <w:rPr>
          <w:lang w:val="en-US"/>
        </w:rPr>
        <w:t xml:space="preserve"> followed by </w:t>
      </w:r>
      <w:r w:rsidR="00307ED5">
        <w:rPr>
          <w:lang w:val="en-US"/>
        </w:rPr>
        <w:t xml:space="preserve">MATIP II </w:t>
      </w:r>
      <w:r w:rsidR="007F108B">
        <w:rPr>
          <w:lang w:val="en-US"/>
        </w:rPr>
        <w:t>(</w:t>
      </w:r>
      <w:r w:rsidR="00307ED5">
        <w:rPr>
          <w:lang w:val="en-US"/>
        </w:rPr>
        <w:t xml:space="preserve">allocated </w:t>
      </w:r>
      <w:r>
        <w:rPr>
          <w:lang w:val="en-US"/>
        </w:rPr>
        <w:t>US$16.8 million or 1</w:t>
      </w:r>
      <w:r w:rsidR="00735C51">
        <w:rPr>
          <w:lang w:val="en-US"/>
        </w:rPr>
        <w:t>3</w:t>
      </w:r>
      <w:r>
        <w:rPr>
          <w:lang w:val="en-US"/>
        </w:rPr>
        <w:t>%</w:t>
      </w:r>
      <w:r w:rsidR="007F108B">
        <w:rPr>
          <w:lang w:val="en-US"/>
        </w:rPr>
        <w:t>)</w:t>
      </w:r>
      <w:r>
        <w:rPr>
          <w:lang w:val="en-US"/>
        </w:rPr>
        <w:t xml:space="preserve">, </w:t>
      </w:r>
      <w:r w:rsidR="00307ED5">
        <w:rPr>
          <w:lang w:val="en-US"/>
        </w:rPr>
        <w:t xml:space="preserve">and </w:t>
      </w:r>
      <w:r w:rsidR="00307ED5" w:rsidRPr="00F84434">
        <w:rPr>
          <w:lang w:val="en-US"/>
        </w:rPr>
        <w:t>Improvement of Health Services Delivery at Mulago Hospital and in the City of Kampala Project</w:t>
      </w:r>
      <w:r w:rsidR="00307ED5">
        <w:rPr>
          <w:lang w:val="en-US"/>
        </w:rPr>
        <w:t xml:space="preserve"> </w:t>
      </w:r>
      <w:r w:rsidR="007F108B">
        <w:rPr>
          <w:lang w:val="en-US"/>
        </w:rPr>
        <w:t>(</w:t>
      </w:r>
      <w:r w:rsidR="00307ED5">
        <w:rPr>
          <w:lang w:val="en-US"/>
        </w:rPr>
        <w:t xml:space="preserve">allocated </w:t>
      </w:r>
      <w:r>
        <w:rPr>
          <w:lang w:val="en-US"/>
        </w:rPr>
        <w:t>US$14.7 million or 11%</w:t>
      </w:r>
      <w:r w:rsidR="007F108B">
        <w:rPr>
          <w:lang w:val="en-US"/>
        </w:rPr>
        <w:t>)</w:t>
      </w:r>
      <w:r w:rsidR="00307ED5">
        <w:rPr>
          <w:lang w:val="en-US"/>
        </w:rPr>
        <w:t xml:space="preserve">. </w:t>
      </w:r>
      <w:r w:rsidR="005613BF">
        <w:rPr>
          <w:lang w:val="en-US"/>
        </w:rPr>
        <w:t>Together,</w:t>
      </w:r>
      <w:r>
        <w:rPr>
          <w:lang w:val="en-US"/>
        </w:rPr>
        <w:t xml:space="preserve"> the remaining </w:t>
      </w:r>
      <w:r w:rsidR="00D567A3">
        <w:rPr>
          <w:lang w:val="en-US"/>
        </w:rPr>
        <w:t>10</w:t>
      </w:r>
      <w:r>
        <w:rPr>
          <w:lang w:val="en-US"/>
        </w:rPr>
        <w:t xml:space="preserve"> AfDB loan</w:t>
      </w:r>
      <w:r w:rsidR="005613BF">
        <w:rPr>
          <w:lang w:val="en-US"/>
        </w:rPr>
        <w:t>-</w:t>
      </w:r>
      <w:r>
        <w:rPr>
          <w:lang w:val="en-US"/>
        </w:rPr>
        <w:t>funded projects in 2018 were allocated a total of US$</w:t>
      </w:r>
      <w:r w:rsidR="00D567A3">
        <w:rPr>
          <w:lang w:val="en-US"/>
        </w:rPr>
        <w:t>69.8</w:t>
      </w:r>
      <w:r>
        <w:rPr>
          <w:lang w:val="en-US"/>
        </w:rPr>
        <w:t xml:space="preserve"> million </w:t>
      </w:r>
      <w:r w:rsidR="005613BF">
        <w:rPr>
          <w:lang w:val="en-US"/>
        </w:rPr>
        <w:t>(</w:t>
      </w:r>
      <w:r w:rsidR="00D567A3">
        <w:rPr>
          <w:lang w:val="en-US"/>
        </w:rPr>
        <w:t>5</w:t>
      </w:r>
      <w:r w:rsidR="00735C51">
        <w:rPr>
          <w:lang w:val="en-US"/>
        </w:rPr>
        <w:t>4</w:t>
      </w:r>
      <w:r>
        <w:rPr>
          <w:lang w:val="en-US"/>
        </w:rPr>
        <w:t>%</w:t>
      </w:r>
      <w:r w:rsidR="005613BF">
        <w:rPr>
          <w:lang w:val="en-US"/>
        </w:rPr>
        <w:t xml:space="preserve"> of disbursed loans for the year)</w:t>
      </w:r>
      <w:r>
        <w:rPr>
          <w:lang w:val="en-US"/>
        </w:rPr>
        <w:t>.</w:t>
      </w:r>
    </w:p>
    <w:p w14:paraId="7F597CA9" w14:textId="55C29B24" w:rsidR="008E627C" w:rsidRPr="00B821D3" w:rsidRDefault="003029DE">
      <w:pPr>
        <w:pStyle w:val="Heading1"/>
        <w:rPr>
          <w:shd w:val="clear" w:color="auto" w:fill="FFFFFF"/>
        </w:rPr>
      </w:pPr>
      <w:bookmarkStart w:id="35" w:name="_Toc91097896"/>
      <w:r w:rsidRPr="00B821D3">
        <w:rPr>
          <w:shd w:val="clear" w:color="auto" w:fill="FFFFFF"/>
        </w:rPr>
        <w:lastRenderedPageBreak/>
        <w:t>D</w:t>
      </w:r>
      <w:r w:rsidR="008E627C" w:rsidRPr="00B821D3">
        <w:rPr>
          <w:shd w:val="clear" w:color="auto" w:fill="FFFFFF"/>
        </w:rPr>
        <w:t>ebt sustainability</w:t>
      </w:r>
      <w:bookmarkEnd w:id="35"/>
    </w:p>
    <w:p w14:paraId="79D7B2DB" w14:textId="5017CE19" w:rsidR="00C032D1" w:rsidRDefault="003229E8" w:rsidP="008E627C">
      <w:r w:rsidRPr="00B821D3">
        <w:t>In 2018, t</w:t>
      </w:r>
      <w:r w:rsidR="00034E2E" w:rsidRPr="00B821D3">
        <w:t xml:space="preserve">he </w:t>
      </w:r>
      <w:r w:rsidR="008E627C" w:rsidRPr="00B821D3">
        <w:t>Government of Uganda put its own debt sustainability limit at 50</w:t>
      </w:r>
      <w:r w:rsidRPr="00B821D3">
        <w:t>%</w:t>
      </w:r>
      <w:r w:rsidR="008E627C" w:rsidRPr="00B821D3">
        <w:t xml:space="preserve"> of </w:t>
      </w:r>
      <w:r w:rsidR="003655AF" w:rsidRPr="00B821D3">
        <w:t>d</w:t>
      </w:r>
      <w:r w:rsidR="00D567A3" w:rsidRPr="00B821D3">
        <w:t>ebt-to-GDP ratio</w:t>
      </w:r>
      <w:r w:rsidRPr="00B821D3">
        <w:t>.</w:t>
      </w:r>
      <w:r w:rsidR="008E627C" w:rsidRPr="00B821D3">
        <w:rPr>
          <w:rStyle w:val="EndnoteReference"/>
        </w:rPr>
        <w:endnoteReference w:id="34"/>
      </w:r>
      <w:r w:rsidR="008E627C" w:rsidRPr="00B821D3">
        <w:t xml:space="preserve"> The 50</w:t>
      </w:r>
      <w:r w:rsidRPr="00B821D3">
        <w:t>%</w:t>
      </w:r>
      <w:r w:rsidR="008E627C" w:rsidRPr="00B821D3">
        <w:t xml:space="preserve"> mark</w:t>
      </w:r>
      <w:r w:rsidR="00630528" w:rsidRPr="00B821D3">
        <w:t>,</w:t>
      </w:r>
      <w:r w:rsidR="008E627C" w:rsidRPr="00B821D3">
        <w:t xml:space="preserve"> </w:t>
      </w:r>
      <w:r w:rsidR="00AE1E58" w:rsidRPr="00B821D3">
        <w:t xml:space="preserve">which </w:t>
      </w:r>
      <w:r w:rsidR="00522A49" w:rsidRPr="00B821D3">
        <w:t xml:space="preserve">was </w:t>
      </w:r>
      <w:r w:rsidR="003655AF" w:rsidRPr="00B821D3">
        <w:t xml:space="preserve">thought to be </w:t>
      </w:r>
      <w:r w:rsidR="008E627C" w:rsidRPr="00B821D3">
        <w:t xml:space="preserve">high </w:t>
      </w:r>
      <w:r w:rsidR="00630528" w:rsidRPr="00B821D3">
        <w:t>at the time</w:t>
      </w:r>
      <w:r w:rsidR="003655AF" w:rsidRPr="00B821D3">
        <w:t>,</w:t>
      </w:r>
      <w:r w:rsidR="008E627C" w:rsidRPr="00B821D3">
        <w:t xml:space="preserve"> made </w:t>
      </w:r>
      <w:r w:rsidR="005613BF">
        <w:t xml:space="preserve">the </w:t>
      </w:r>
      <w:r w:rsidR="008E627C" w:rsidRPr="00B821D3">
        <w:t>government less responsive to growing public debt</w:t>
      </w:r>
      <w:r w:rsidR="00630528" w:rsidRPr="00B821D3">
        <w:t>.</w:t>
      </w:r>
      <w:r w:rsidR="008E627C" w:rsidRPr="00B821D3">
        <w:rPr>
          <w:rStyle w:val="EndnoteReference"/>
        </w:rPr>
        <w:endnoteReference w:id="35"/>
      </w:r>
      <w:r w:rsidR="00CA7B1B">
        <w:t xml:space="preserve"> </w:t>
      </w:r>
    </w:p>
    <w:p w14:paraId="4E5783C9" w14:textId="2A7A4CDD" w:rsidR="008E627C" w:rsidRDefault="00496651" w:rsidP="008E627C">
      <w:r>
        <w:t xml:space="preserve">In 2021, </w:t>
      </w:r>
      <w:r w:rsidR="002D052C">
        <w:t>Uganda</w:t>
      </w:r>
      <w:r w:rsidR="00ED6FBB">
        <w:t>’s nominal debt</w:t>
      </w:r>
      <w:r w:rsidR="005C7D8C">
        <w:t>-</w:t>
      </w:r>
      <w:r w:rsidR="00ED6FBB">
        <w:t>to</w:t>
      </w:r>
      <w:r w:rsidR="005C7D8C">
        <w:t>-</w:t>
      </w:r>
      <w:r w:rsidR="00ED6FBB">
        <w:t>GDP ratio</w:t>
      </w:r>
      <w:r w:rsidR="00ED6FBB">
        <w:rPr>
          <w:rStyle w:val="EndnoteReference"/>
        </w:rPr>
        <w:endnoteReference w:id="36"/>
      </w:r>
      <w:r w:rsidR="002D052C">
        <w:t xml:space="preserve"> </w:t>
      </w:r>
      <w:r>
        <w:t>r</w:t>
      </w:r>
      <w:r w:rsidR="003655AF">
        <w:t>o</w:t>
      </w:r>
      <w:r>
        <w:t>se to 53%,</w:t>
      </w:r>
      <w:r w:rsidR="008E627C">
        <w:t xml:space="preserve"> surpass</w:t>
      </w:r>
      <w:r>
        <w:t>ing</w:t>
      </w:r>
      <w:r w:rsidR="008E627C">
        <w:t xml:space="preserve"> the 50% </w:t>
      </w:r>
      <w:r>
        <w:t>limit</w:t>
      </w:r>
      <w:r w:rsidR="008E627C">
        <w:t xml:space="preserve"> </w:t>
      </w:r>
      <w:r>
        <w:t>(</w:t>
      </w:r>
      <w:r w:rsidR="008E627C">
        <w:t xml:space="preserve">even after rebasing the </w:t>
      </w:r>
      <w:r w:rsidR="00AE1E58">
        <w:t>national accounts i</w:t>
      </w:r>
      <w:r w:rsidR="008E627C">
        <w:t>n 2019</w:t>
      </w:r>
      <w:r w:rsidR="005C7D8C">
        <w:t>, which</w:t>
      </w:r>
      <w:r w:rsidR="00AE1E58">
        <w:t xml:space="preserve"> increased the size of the economy by 20%</w:t>
      </w:r>
      <w:r>
        <w:t>)</w:t>
      </w:r>
      <w:r w:rsidR="003229E8">
        <w:t>.</w:t>
      </w:r>
      <w:r w:rsidR="00AE1E58">
        <w:rPr>
          <w:rStyle w:val="EndnoteReference"/>
        </w:rPr>
        <w:endnoteReference w:id="37"/>
      </w:r>
      <w:r w:rsidR="008E627C">
        <w:t xml:space="preserve"> </w:t>
      </w:r>
      <w:bookmarkStart w:id="36" w:name="_Hlk89765428"/>
      <w:r w:rsidR="008E627C">
        <w:t>The</w:t>
      </w:r>
      <w:r w:rsidR="002D052C">
        <w:t xml:space="preserve"> rapid growth in Uganda’s debt portfolio has </w:t>
      </w:r>
      <w:r>
        <w:t>caused</w:t>
      </w:r>
      <w:r w:rsidR="002D052C">
        <w:t xml:space="preserve"> </w:t>
      </w:r>
      <w:r w:rsidR="008E627C">
        <w:t>concern</w:t>
      </w:r>
      <w:r>
        <w:t>,</w:t>
      </w:r>
      <w:r w:rsidR="008E627C">
        <w:t xml:space="preserve"> </w:t>
      </w:r>
      <w:r w:rsidR="002D052C">
        <w:t xml:space="preserve">with widespread public outcry from sections of </w:t>
      </w:r>
      <w:r>
        <w:t>g</w:t>
      </w:r>
      <w:r w:rsidR="002D052C">
        <w:t>overnment</w:t>
      </w:r>
      <w:r>
        <w:t>.</w:t>
      </w:r>
      <w:r w:rsidR="002D052C">
        <w:rPr>
          <w:rStyle w:val="EndnoteReference"/>
        </w:rPr>
        <w:endnoteReference w:id="38"/>
      </w:r>
      <w:r w:rsidR="003229E8" w:rsidRPr="003229E8">
        <w:rPr>
          <w:vertAlign w:val="superscript"/>
        </w:rPr>
        <w:t>,</w:t>
      </w:r>
      <w:r w:rsidR="002D052C">
        <w:rPr>
          <w:rStyle w:val="EndnoteReference"/>
        </w:rPr>
        <w:endnoteReference w:id="39"/>
      </w:r>
      <w:r w:rsidR="003229E8" w:rsidRPr="003229E8">
        <w:rPr>
          <w:vertAlign w:val="superscript"/>
        </w:rPr>
        <w:t>,</w:t>
      </w:r>
      <w:r w:rsidR="002D052C">
        <w:rPr>
          <w:rStyle w:val="EndnoteReference"/>
        </w:rPr>
        <w:endnoteReference w:id="40"/>
      </w:r>
      <w:r w:rsidR="002D052C">
        <w:t xml:space="preserve"> </w:t>
      </w:r>
      <w:r>
        <w:t>C</w:t>
      </w:r>
      <w:r w:rsidR="00A42953">
        <w:t>ivil society</w:t>
      </w:r>
      <w:r w:rsidR="002D052C">
        <w:t xml:space="preserve"> </w:t>
      </w:r>
      <w:r>
        <w:t xml:space="preserve">has also </w:t>
      </w:r>
      <w:r w:rsidR="002D052C">
        <w:t>warn</w:t>
      </w:r>
      <w:r>
        <w:t>ed</w:t>
      </w:r>
      <w:r w:rsidR="002D052C">
        <w:t xml:space="preserve"> the government over high debt levels</w:t>
      </w:r>
      <w:r w:rsidR="00A72202">
        <w:t xml:space="preserve"> and the resulting pressure that debt servicing exerts on Uganda’s budget</w:t>
      </w:r>
      <w:bookmarkEnd w:id="36"/>
      <w:r w:rsidR="003229E8">
        <w:t>.</w:t>
      </w:r>
      <w:r w:rsidR="00A72202">
        <w:rPr>
          <w:rStyle w:val="EndnoteReference"/>
        </w:rPr>
        <w:endnoteReference w:id="41"/>
      </w:r>
      <w:r w:rsidR="003229E8" w:rsidRPr="003229E8">
        <w:rPr>
          <w:vertAlign w:val="superscript"/>
        </w:rPr>
        <w:t>,</w:t>
      </w:r>
      <w:r w:rsidR="0075007F">
        <w:rPr>
          <w:rStyle w:val="EndnoteReference"/>
        </w:rPr>
        <w:endnoteReference w:id="42"/>
      </w:r>
      <w:r w:rsidR="002D052C">
        <w:t xml:space="preserve"> </w:t>
      </w:r>
      <w:r w:rsidR="008E627C">
        <w:t xml:space="preserve"> </w:t>
      </w:r>
    </w:p>
    <w:p w14:paraId="06C02984" w14:textId="15AE2F58" w:rsidR="006802D1" w:rsidRDefault="00E7179F" w:rsidP="008822DF">
      <w:pPr>
        <w:pStyle w:val="FigureTitle"/>
      </w:pPr>
      <w:r>
        <w:t xml:space="preserve">Figure 9: </w:t>
      </w:r>
      <w:r w:rsidR="006802D1">
        <w:t>Uganda’s public debt, 2018</w:t>
      </w:r>
      <w:r w:rsidR="006802D1">
        <w:rPr>
          <w:lang w:val="en-US"/>
        </w:rPr>
        <w:t>–</w:t>
      </w:r>
      <w:r w:rsidR="006802D1">
        <w:t>2021</w:t>
      </w:r>
    </w:p>
    <w:p w14:paraId="6B52E9E8" w14:textId="20E40038" w:rsidR="006802D1" w:rsidRDefault="006802D1" w:rsidP="008E627C">
      <w:r>
        <w:rPr>
          <w:noProof/>
        </w:rPr>
        <w:drawing>
          <wp:inline distT="0" distB="0" distL="0" distR="0" wp14:anchorId="468F177C" wp14:editId="65F7BF4F">
            <wp:extent cx="4987699" cy="2741839"/>
            <wp:effectExtent l="0" t="0" r="3810" b="1905"/>
            <wp:docPr id="13" name="Chart 13" descr="Figure 9: A combo chart showing Uganda's public debt in Uganda Shillings and Debt to GDP ration in percentage from 2018 to 2021 US$, million. Full data is available from Development Initiatives' datasets page.">
              <a:extLst xmlns:a="http://schemas.openxmlformats.org/drawingml/2006/main">
                <a:ext uri="{FF2B5EF4-FFF2-40B4-BE49-F238E27FC236}">
                  <a16:creationId xmlns:a16="http://schemas.microsoft.com/office/drawing/2014/main" id="{2DBF2586-9F5D-4CF7-B1D1-85AA481B9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E91B30" w14:textId="7455CEC5" w:rsidR="006802D1" w:rsidRDefault="006802D1" w:rsidP="008822DF">
      <w:pPr>
        <w:pStyle w:val="Source"/>
      </w:pPr>
      <w:r>
        <w:t>Source: Development Initiatives based on data from Bank of Uganda</w:t>
      </w:r>
      <w:r w:rsidR="00F60B5C">
        <w:t>.</w:t>
      </w:r>
    </w:p>
    <w:p w14:paraId="503C5239" w14:textId="1AEA52B4" w:rsidR="006802D1" w:rsidRDefault="006802D1" w:rsidP="008822DF">
      <w:pPr>
        <w:pStyle w:val="Source"/>
      </w:pPr>
      <w:r>
        <w:t>Notes: Data for 2021 based on provisional statistics for end of Sept</w:t>
      </w:r>
      <w:r w:rsidR="00F06127">
        <w:t>ember</w:t>
      </w:r>
      <w:r>
        <w:t xml:space="preserve"> 2021</w:t>
      </w:r>
      <w:r w:rsidR="00F60B5C">
        <w:t>.</w:t>
      </w:r>
    </w:p>
    <w:p w14:paraId="6885B996" w14:textId="3CD581F8" w:rsidR="008E627C" w:rsidRDefault="003E607A" w:rsidP="008E627C">
      <w:bookmarkStart w:id="37" w:name="_Hlk89765453"/>
      <w:r>
        <w:t>While</w:t>
      </w:r>
      <w:r w:rsidR="00791AF1">
        <w:t xml:space="preserve"> </w:t>
      </w:r>
      <w:r w:rsidR="00E86218">
        <w:t>concern</w:t>
      </w:r>
      <w:r>
        <w:t>s were raised</w:t>
      </w:r>
      <w:r w:rsidR="00E86218">
        <w:t xml:space="preserve"> </w:t>
      </w:r>
      <w:r w:rsidR="00791AF1">
        <w:t xml:space="preserve">over high debt levels </w:t>
      </w:r>
      <w:r w:rsidR="00F60B5C">
        <w:t>from</w:t>
      </w:r>
      <w:r w:rsidR="00791AF1">
        <w:t xml:space="preserve"> local actors, </w:t>
      </w:r>
      <w:r w:rsidR="002C50BB">
        <w:t xml:space="preserve">in May 2020 </w:t>
      </w:r>
      <w:r w:rsidR="00791AF1">
        <w:t>t</w:t>
      </w:r>
      <w:r w:rsidR="008E627C" w:rsidRPr="00642070">
        <w:t xml:space="preserve">he IMF and World </w:t>
      </w:r>
      <w:r w:rsidR="00791AF1">
        <w:t>B</w:t>
      </w:r>
      <w:r w:rsidR="008E627C" w:rsidRPr="00642070">
        <w:t xml:space="preserve">ank </w:t>
      </w:r>
      <w:r w:rsidR="00642070" w:rsidRPr="00642070">
        <w:t>maintain</w:t>
      </w:r>
      <w:r w:rsidR="00F60B5C">
        <w:t>ed</w:t>
      </w:r>
      <w:r w:rsidR="00642070" w:rsidRPr="00642070">
        <w:t xml:space="preserve"> that </w:t>
      </w:r>
      <w:r w:rsidR="008E627C" w:rsidRPr="00642070">
        <w:t xml:space="preserve">Uganda’s debt </w:t>
      </w:r>
      <w:r w:rsidR="002C50BB">
        <w:t>wa</w:t>
      </w:r>
      <w:r w:rsidR="008E627C" w:rsidRPr="00642070">
        <w:t>s sustainable, with a low risk of external and overall debt distress under the Covid</w:t>
      </w:r>
      <w:r w:rsidR="00E86218">
        <w:t>-19</w:t>
      </w:r>
      <w:r w:rsidR="008E627C" w:rsidRPr="00642070">
        <w:t xml:space="preserve"> pandemic macro</w:t>
      </w:r>
      <w:r w:rsidR="00E86218">
        <w:t xml:space="preserve">economic </w:t>
      </w:r>
      <w:r w:rsidR="008E627C" w:rsidRPr="00642070">
        <w:t>framework</w:t>
      </w:r>
      <w:bookmarkEnd w:id="37"/>
      <w:r w:rsidR="00E86218">
        <w:t>.</w:t>
      </w:r>
      <w:r w:rsidR="00642070" w:rsidRPr="00642070">
        <w:rPr>
          <w:rStyle w:val="EndnoteReference"/>
        </w:rPr>
        <w:endnoteReference w:id="43"/>
      </w:r>
      <w:r w:rsidR="00642070" w:rsidRPr="00642070">
        <w:t xml:space="preserve"> </w:t>
      </w:r>
      <w:r w:rsidR="006D1205">
        <w:t xml:space="preserve">However, </w:t>
      </w:r>
      <w:r w:rsidR="002C50BB">
        <w:t xml:space="preserve">in June 2021 </w:t>
      </w:r>
      <w:r w:rsidR="006D1205">
        <w:t>the IMF warned that Uganda’s high debt burden ha</w:t>
      </w:r>
      <w:r w:rsidR="00F60B5C">
        <w:t>d</w:t>
      </w:r>
      <w:r w:rsidR="006D1205">
        <w:t xml:space="preserve"> </w:t>
      </w:r>
      <w:r w:rsidR="002C50BB">
        <w:t>caused</w:t>
      </w:r>
      <w:r w:rsidR="006D1205">
        <w:t xml:space="preserve"> multiple indicators to breach their indicative thresholds under stress test</w:t>
      </w:r>
      <w:r w:rsidR="00F415F4">
        <w:t>s</w:t>
      </w:r>
      <w:r w:rsidR="00E86218">
        <w:t>.</w:t>
      </w:r>
      <w:r w:rsidR="006D1205">
        <w:rPr>
          <w:rStyle w:val="EndnoteReference"/>
        </w:rPr>
        <w:endnoteReference w:id="44"/>
      </w:r>
    </w:p>
    <w:p w14:paraId="1F008434" w14:textId="0E5B1CFF" w:rsidR="00A72202" w:rsidRDefault="00A72202" w:rsidP="003655AF">
      <w:pPr>
        <w:pStyle w:val="Heading2"/>
      </w:pPr>
      <w:bookmarkStart w:id="38" w:name="_Toc91097897"/>
      <w:r w:rsidRPr="00A72202">
        <w:lastRenderedPageBreak/>
        <w:t>Debt management</w:t>
      </w:r>
      <w:bookmarkEnd w:id="38"/>
    </w:p>
    <w:p w14:paraId="5874136A" w14:textId="04C96C23" w:rsidR="00A72202" w:rsidRDefault="00BA7A00" w:rsidP="003655AF">
      <w:r w:rsidRPr="003655AF">
        <w:t>Even though the new borrowing is unavoidable, there is a need to do i</w:t>
      </w:r>
      <w:r w:rsidR="00ED47BD">
        <w:t>t</w:t>
      </w:r>
      <w:r w:rsidRPr="003655AF">
        <w:t xml:space="preserve"> sustainably</w:t>
      </w:r>
      <w:r w:rsidR="00A72202">
        <w:t xml:space="preserve">. </w:t>
      </w:r>
      <w:r w:rsidR="00C379B6">
        <w:t>T</w:t>
      </w:r>
      <w:r w:rsidR="00A72202">
        <w:t xml:space="preserve">here </w:t>
      </w:r>
      <w:r w:rsidR="00791AF1">
        <w:t xml:space="preserve">are </w:t>
      </w:r>
      <w:r w:rsidR="00A72202">
        <w:t>increasing calls for government to institute sustainable debt</w:t>
      </w:r>
      <w:r w:rsidR="00392C55">
        <w:t>-</w:t>
      </w:r>
      <w:r w:rsidR="00A72202">
        <w:t>management mechanisms</w:t>
      </w:r>
      <w:r w:rsidR="00392C55">
        <w:t>,</w:t>
      </w:r>
      <w:r w:rsidR="00A72202">
        <w:t xml:space="preserve"> including</w:t>
      </w:r>
      <w:r w:rsidR="00392C55">
        <w:t>: the</w:t>
      </w:r>
      <w:r w:rsidR="00A72202">
        <w:t xml:space="preserve"> prudent use of available public resources</w:t>
      </w:r>
      <w:r w:rsidR="00392C55">
        <w:t>;</w:t>
      </w:r>
      <w:r w:rsidR="00A72202">
        <w:t xml:space="preserve"> </w:t>
      </w:r>
      <w:r w:rsidR="0075007F">
        <w:t>better project appraisal</w:t>
      </w:r>
      <w:r w:rsidR="00F60B5C">
        <w:t>,</w:t>
      </w:r>
      <w:r w:rsidR="0075007F">
        <w:t xml:space="preserve"> and restructuring or renegotiating loan terms on non-performing projects</w:t>
      </w:r>
      <w:r w:rsidR="00392C55">
        <w:t>;</w:t>
      </w:r>
      <w:r w:rsidR="0075007F">
        <w:rPr>
          <w:rStyle w:val="EndnoteReference"/>
        </w:rPr>
        <w:endnoteReference w:id="45"/>
      </w:r>
      <w:r w:rsidR="00392C55" w:rsidRPr="00392C55">
        <w:rPr>
          <w:vertAlign w:val="superscript"/>
        </w:rPr>
        <w:t>,</w:t>
      </w:r>
      <w:r w:rsidR="005D2410">
        <w:rPr>
          <w:rStyle w:val="EndnoteReference"/>
        </w:rPr>
        <w:endnoteReference w:id="46"/>
      </w:r>
      <w:r w:rsidR="00791AF1">
        <w:t xml:space="preserve"> and avoid</w:t>
      </w:r>
      <w:r w:rsidR="00392C55">
        <w:t>ing</w:t>
      </w:r>
      <w:r w:rsidR="00791AF1">
        <w:t xml:space="preserve"> new loans before </w:t>
      </w:r>
      <w:r w:rsidR="00392C55">
        <w:t>pre-existing</w:t>
      </w:r>
      <w:r w:rsidR="00791AF1">
        <w:t xml:space="preserve"> debts are fully </w:t>
      </w:r>
      <w:r w:rsidR="006D1205">
        <w:t>absorbed</w:t>
      </w:r>
      <w:r w:rsidR="00392C55">
        <w:t>.</w:t>
      </w:r>
      <w:r w:rsidR="006D1205">
        <w:rPr>
          <w:rStyle w:val="EndnoteReference"/>
        </w:rPr>
        <w:endnoteReference w:id="47"/>
      </w:r>
      <w:r w:rsidR="0075007F">
        <w:t xml:space="preserve"> </w:t>
      </w:r>
    </w:p>
    <w:p w14:paraId="69AC4325" w14:textId="5E49AE0A" w:rsidR="00791AF1" w:rsidRDefault="00392C55" w:rsidP="008E627C">
      <w:r>
        <w:t>Uganda’s</w:t>
      </w:r>
      <w:r w:rsidR="005D2410">
        <w:t xml:space="preserve"> </w:t>
      </w:r>
      <w:r w:rsidR="00A42953">
        <w:t>M</w:t>
      </w:r>
      <w:r w:rsidR="005D2410">
        <w:t xml:space="preserve">inistry of </w:t>
      </w:r>
      <w:r w:rsidR="00A42953">
        <w:t>F</w:t>
      </w:r>
      <w:r w:rsidR="005D2410">
        <w:t xml:space="preserve">inance unveiled its </w:t>
      </w:r>
      <w:r>
        <w:t>M</w:t>
      </w:r>
      <w:r w:rsidR="005D2410">
        <w:t>edium</w:t>
      </w:r>
      <w:r>
        <w:t>-</w:t>
      </w:r>
      <w:r w:rsidR="005D2410">
        <w:t xml:space="preserve">term </w:t>
      </w:r>
      <w:r>
        <w:t>D</w:t>
      </w:r>
      <w:r w:rsidR="005D2410">
        <w:t>ebt</w:t>
      </w:r>
      <w:r w:rsidR="003D59A2">
        <w:t xml:space="preserve"> M</w:t>
      </w:r>
      <w:r w:rsidR="005D2410">
        <w:t xml:space="preserve">anagement </w:t>
      </w:r>
      <w:r>
        <w:t>S</w:t>
      </w:r>
      <w:r w:rsidR="005D2410">
        <w:t xml:space="preserve">trategy </w:t>
      </w:r>
      <w:r w:rsidR="00A42953">
        <w:t>in March 202</w:t>
      </w:r>
      <w:r w:rsidR="00D134D9">
        <w:t>1</w:t>
      </w:r>
      <w:r w:rsidRPr="00392C55">
        <w:t xml:space="preserve"> </w:t>
      </w:r>
      <w:r>
        <w:t>to increase value for money fr</w:t>
      </w:r>
      <w:r w:rsidR="003D59A2">
        <w:t>om</w:t>
      </w:r>
      <w:r>
        <w:t xml:space="preserve"> the borrowed funds and reduce risk in </w:t>
      </w:r>
      <w:r w:rsidR="00F60B5C">
        <w:t xml:space="preserve">the </w:t>
      </w:r>
      <w:r>
        <w:t>public debt portfolio by borrowing in the form of longer-dated instruments from the domestic market.</w:t>
      </w:r>
      <w:r w:rsidR="00A42953">
        <w:rPr>
          <w:rStyle w:val="EndnoteReference"/>
        </w:rPr>
        <w:endnoteReference w:id="48"/>
      </w:r>
      <w:r w:rsidR="00791AF1">
        <w:t xml:space="preserve"> </w:t>
      </w:r>
    </w:p>
    <w:p w14:paraId="33EEE745" w14:textId="3C85121B" w:rsidR="0075007F" w:rsidRDefault="00C41A50" w:rsidP="008E627C">
      <w:bookmarkStart w:id="39" w:name="_Hlk89765486"/>
      <w:r>
        <w:t>To</w:t>
      </w:r>
      <w:r w:rsidR="006D1205">
        <w:t xml:space="preserve"> help with debt management, new loans from</w:t>
      </w:r>
      <w:r w:rsidR="00FC2773">
        <w:t xml:space="preserve"> the</w:t>
      </w:r>
      <w:r w:rsidR="006D1205">
        <w:t xml:space="preserve"> </w:t>
      </w:r>
      <w:r w:rsidR="0075007F">
        <w:t xml:space="preserve">IMF </w:t>
      </w:r>
      <w:r w:rsidR="006D1205">
        <w:t>have come with</w:t>
      </w:r>
      <w:r w:rsidR="0075007F">
        <w:t xml:space="preserve"> </w:t>
      </w:r>
      <w:r w:rsidR="006D1205" w:rsidRPr="00E54808">
        <w:rPr>
          <w:shd w:val="clear" w:color="auto" w:fill="FFFFFF"/>
        </w:rPr>
        <w:t>safeguards</w:t>
      </w:r>
      <w:r w:rsidR="006D1205">
        <w:rPr>
          <w:shd w:val="clear" w:color="auto" w:fill="FFFFFF"/>
        </w:rPr>
        <w:t xml:space="preserve"> </w:t>
      </w:r>
      <w:r w:rsidR="006D1205" w:rsidRPr="00E54808">
        <w:rPr>
          <w:shd w:val="clear" w:color="auto" w:fill="FFFFFF"/>
        </w:rPr>
        <w:t>to ensure</w:t>
      </w:r>
      <w:r w:rsidR="006D1205">
        <w:rPr>
          <w:shd w:val="clear" w:color="auto" w:fill="FFFFFF"/>
        </w:rPr>
        <w:t xml:space="preserve"> proper use and </w:t>
      </w:r>
      <w:r w:rsidR="006D1205" w:rsidRPr="00E54808">
        <w:rPr>
          <w:shd w:val="clear" w:color="auto" w:fill="FFFFFF"/>
        </w:rPr>
        <w:t>accountability</w:t>
      </w:r>
      <w:r w:rsidR="00FC2773">
        <w:rPr>
          <w:shd w:val="clear" w:color="auto" w:fill="FFFFFF"/>
        </w:rPr>
        <w:t>.</w:t>
      </w:r>
      <w:r w:rsidR="006D1205" w:rsidRPr="00E54808">
        <w:rPr>
          <w:rStyle w:val="EndnoteReference"/>
          <w:shd w:val="clear" w:color="auto" w:fill="FFFFFF"/>
        </w:rPr>
        <w:endnoteReference w:id="49"/>
      </w:r>
      <w:r w:rsidR="006D1205">
        <w:rPr>
          <w:shd w:val="clear" w:color="auto" w:fill="FFFFFF"/>
        </w:rPr>
        <w:t xml:space="preserve"> </w:t>
      </w:r>
      <w:r w:rsidR="00FC2773">
        <w:rPr>
          <w:shd w:val="clear" w:color="auto" w:fill="FFFFFF"/>
        </w:rPr>
        <w:t xml:space="preserve">The </w:t>
      </w:r>
      <w:r w:rsidR="006D1205">
        <w:rPr>
          <w:shd w:val="clear" w:color="auto" w:fill="FFFFFF"/>
        </w:rPr>
        <w:t xml:space="preserve">World Bank maintains its </w:t>
      </w:r>
      <w:r w:rsidR="00355572">
        <w:rPr>
          <w:shd w:val="clear" w:color="auto" w:fill="FFFFFF"/>
        </w:rPr>
        <w:t xml:space="preserve">pre-existing </w:t>
      </w:r>
      <w:r w:rsidR="006D1205">
        <w:rPr>
          <w:shd w:val="clear" w:color="auto" w:fill="FFFFFF"/>
        </w:rPr>
        <w:t xml:space="preserve">policy reforms </w:t>
      </w:r>
      <w:r w:rsidR="00355572">
        <w:rPr>
          <w:shd w:val="clear" w:color="auto" w:fill="FFFFFF"/>
        </w:rPr>
        <w:t xml:space="preserve">as a condition of </w:t>
      </w:r>
      <w:r w:rsidR="006D1205">
        <w:rPr>
          <w:shd w:val="clear" w:color="auto" w:fill="FFFFFF"/>
        </w:rPr>
        <w:t xml:space="preserve">new loans to </w:t>
      </w:r>
      <w:r w:rsidR="006D1205" w:rsidRPr="00E54808">
        <w:rPr>
          <w:shd w:val="clear" w:color="auto" w:fill="FFFFFF"/>
        </w:rPr>
        <w:t xml:space="preserve">improve effectiveness in </w:t>
      </w:r>
      <w:r w:rsidR="00355572">
        <w:rPr>
          <w:shd w:val="clear" w:color="auto" w:fill="FFFFFF"/>
        </w:rPr>
        <w:t>the use</w:t>
      </w:r>
      <w:r w:rsidR="00355572" w:rsidRPr="00E54808">
        <w:rPr>
          <w:shd w:val="clear" w:color="auto" w:fill="FFFFFF"/>
        </w:rPr>
        <w:t xml:space="preserve"> </w:t>
      </w:r>
      <w:r w:rsidR="006D1205" w:rsidRPr="00E54808">
        <w:rPr>
          <w:shd w:val="clear" w:color="auto" w:fill="FFFFFF"/>
        </w:rPr>
        <w:t>of public resources</w:t>
      </w:r>
      <w:r w:rsidR="00355572">
        <w:rPr>
          <w:shd w:val="clear" w:color="auto" w:fill="FFFFFF"/>
        </w:rPr>
        <w:t>,</w:t>
      </w:r>
      <w:r>
        <w:rPr>
          <w:shd w:val="clear" w:color="auto" w:fill="FFFFFF"/>
        </w:rPr>
        <w:t xml:space="preserve"> arguing that better debt management is crucial to avoid debt distress</w:t>
      </w:r>
      <w:bookmarkEnd w:id="39"/>
      <w:r w:rsidR="00355572">
        <w:rPr>
          <w:shd w:val="clear" w:color="auto" w:fill="FFFFFF"/>
        </w:rPr>
        <w:t>.</w:t>
      </w:r>
      <w:r>
        <w:rPr>
          <w:rStyle w:val="EndnoteReference"/>
          <w:shd w:val="clear" w:color="auto" w:fill="FFFFFF"/>
        </w:rPr>
        <w:endnoteReference w:id="50"/>
      </w:r>
      <w:r w:rsidR="006D1205" w:rsidRPr="00E54808">
        <w:rPr>
          <w:rFonts w:ascii="Helvetica" w:hAnsi="Helvetica" w:cs="Helvetica"/>
          <w:color w:val="2C2825"/>
          <w:shd w:val="clear" w:color="auto" w:fill="FFFFFF"/>
        </w:rPr>
        <w:t> </w:t>
      </w:r>
    </w:p>
    <w:p w14:paraId="10031740" w14:textId="3BE9B0C5" w:rsidR="00402750" w:rsidRDefault="00402750" w:rsidP="00BF56E6">
      <w:pPr>
        <w:pStyle w:val="Heading1"/>
        <w:rPr>
          <w:lang w:val="en-US"/>
        </w:rPr>
      </w:pPr>
      <w:bookmarkStart w:id="40" w:name="_Toc91097898"/>
      <w:r>
        <w:rPr>
          <w:lang w:val="en-US"/>
        </w:rPr>
        <w:lastRenderedPageBreak/>
        <w:t>Summary</w:t>
      </w:r>
      <w:bookmarkEnd w:id="40"/>
      <w:r>
        <w:rPr>
          <w:lang w:val="en-US"/>
        </w:rPr>
        <w:t xml:space="preserve"> </w:t>
      </w:r>
    </w:p>
    <w:p w14:paraId="0A122073" w14:textId="3B43D5A0" w:rsidR="009F070E" w:rsidRDefault="009F070E" w:rsidP="009F070E">
      <w:pPr>
        <w:rPr>
          <w:lang w:val="en-US"/>
        </w:rPr>
      </w:pPr>
      <w:r>
        <w:rPr>
          <w:lang w:val="en-US"/>
        </w:rPr>
        <w:t>This briefing reviewed loans from IFIs published to IATI and on the IFIs’ websites between January 2018 and June 2021. The assessment did not consider loans from bilateral lenders, particularly China, wh</w:t>
      </w:r>
      <w:r w:rsidR="00A52ADA">
        <w:rPr>
          <w:lang w:val="en-US"/>
        </w:rPr>
        <w:t>ich</w:t>
      </w:r>
      <w:r>
        <w:rPr>
          <w:lang w:val="en-US"/>
        </w:rPr>
        <w:t xml:space="preserve"> do</w:t>
      </w:r>
      <w:r w:rsidR="00A52ADA">
        <w:rPr>
          <w:lang w:val="en-US"/>
        </w:rPr>
        <w:t>es</w:t>
      </w:r>
      <w:r>
        <w:rPr>
          <w:lang w:val="en-US"/>
        </w:rPr>
        <w:t xml:space="preserve"> not publish the terms and volumes of loans</w:t>
      </w:r>
      <w:r w:rsidRPr="0008084D">
        <w:rPr>
          <w:lang w:val="en-US"/>
        </w:rPr>
        <w:t xml:space="preserve">. </w:t>
      </w:r>
      <w:r>
        <w:rPr>
          <w:lang w:val="en-US"/>
        </w:rPr>
        <w:t xml:space="preserve">The analysis also </w:t>
      </w:r>
      <w:r w:rsidRPr="007E302D">
        <w:rPr>
          <w:lang w:val="en-US"/>
        </w:rPr>
        <w:t>did not consider loans disbursed after June 2021.</w:t>
      </w:r>
    </w:p>
    <w:p w14:paraId="619FA87F" w14:textId="5C7085CC" w:rsidR="00402750" w:rsidRDefault="002A20DD" w:rsidP="00402750">
      <w:pPr>
        <w:rPr>
          <w:lang w:val="en-US"/>
        </w:rPr>
      </w:pPr>
      <w:r>
        <w:t xml:space="preserve">The Covid-19 pandemic </w:t>
      </w:r>
      <w:r w:rsidR="00355572">
        <w:t xml:space="preserve">has </w:t>
      </w:r>
      <w:r>
        <w:t>s</w:t>
      </w:r>
      <w:r w:rsidR="00355572">
        <w:t>een</w:t>
      </w:r>
      <w:r>
        <w:t xml:space="preserve"> Uganda borrow</w:t>
      </w:r>
      <w:r w:rsidR="00355572">
        <w:t>ing</w:t>
      </w:r>
      <w:r>
        <w:t xml:space="preserve"> more than before</w:t>
      </w:r>
      <w:r w:rsidR="000C7846">
        <w:rPr>
          <w:lang w:val="en-US"/>
        </w:rPr>
        <w:t>.</w:t>
      </w:r>
      <w:r>
        <w:rPr>
          <w:lang w:val="en-US"/>
        </w:rPr>
        <w:t xml:space="preserve"> </w:t>
      </w:r>
      <w:r w:rsidR="000C7846">
        <w:rPr>
          <w:lang w:val="en-US"/>
        </w:rPr>
        <w:t>T</w:t>
      </w:r>
      <w:r w:rsidR="00D027DE">
        <w:rPr>
          <w:lang w:val="en-US"/>
        </w:rPr>
        <w:t>his has contributed to</w:t>
      </w:r>
      <w:r w:rsidR="00355572">
        <w:rPr>
          <w:lang w:val="en-US"/>
        </w:rPr>
        <w:t xml:space="preserve"> the</w:t>
      </w:r>
      <w:r w:rsidR="00D027DE">
        <w:rPr>
          <w:lang w:val="en-US"/>
        </w:rPr>
        <w:t xml:space="preserve"> increase in Uganda’s </w:t>
      </w:r>
      <w:r w:rsidR="00402750">
        <w:rPr>
          <w:lang w:val="en-US"/>
        </w:rPr>
        <w:t>debt</w:t>
      </w:r>
      <w:r w:rsidR="00355572">
        <w:rPr>
          <w:lang w:val="en-US"/>
        </w:rPr>
        <w:t>-</w:t>
      </w:r>
      <w:r w:rsidR="00402750">
        <w:rPr>
          <w:lang w:val="en-US"/>
        </w:rPr>
        <w:t>to</w:t>
      </w:r>
      <w:r w:rsidR="00355572">
        <w:rPr>
          <w:lang w:val="en-US"/>
        </w:rPr>
        <w:t>-</w:t>
      </w:r>
      <w:r w:rsidR="00402750">
        <w:rPr>
          <w:lang w:val="en-US"/>
        </w:rPr>
        <w:t>GDP ratio</w:t>
      </w:r>
      <w:r w:rsidR="00355572">
        <w:rPr>
          <w:lang w:val="en-US"/>
        </w:rPr>
        <w:t>,</w:t>
      </w:r>
      <w:r w:rsidR="00402750">
        <w:rPr>
          <w:lang w:val="en-US"/>
        </w:rPr>
        <w:t xml:space="preserve"> </w:t>
      </w:r>
      <w:r w:rsidR="00D027DE">
        <w:rPr>
          <w:lang w:val="en-US"/>
        </w:rPr>
        <w:t xml:space="preserve">which </w:t>
      </w:r>
      <w:r w:rsidR="00402750">
        <w:rPr>
          <w:lang w:val="en-US"/>
        </w:rPr>
        <w:t xml:space="preserve">surpassed the </w:t>
      </w:r>
      <w:r w:rsidR="004403FF">
        <w:rPr>
          <w:lang w:val="en-US"/>
        </w:rPr>
        <w:t xml:space="preserve">government’s own </w:t>
      </w:r>
      <w:r w:rsidR="00402750">
        <w:rPr>
          <w:lang w:val="en-US"/>
        </w:rPr>
        <w:t xml:space="preserve">50% </w:t>
      </w:r>
      <w:r w:rsidR="00D027DE">
        <w:rPr>
          <w:lang w:val="en-US"/>
        </w:rPr>
        <w:t xml:space="preserve">debt sustainability </w:t>
      </w:r>
      <w:r w:rsidR="004403FF">
        <w:rPr>
          <w:lang w:val="en-US"/>
        </w:rPr>
        <w:t xml:space="preserve">threshold </w:t>
      </w:r>
      <w:r w:rsidR="00355572">
        <w:rPr>
          <w:lang w:val="en-US"/>
        </w:rPr>
        <w:t xml:space="preserve">at the </w:t>
      </w:r>
      <w:r w:rsidR="006B6D5D">
        <w:rPr>
          <w:lang w:val="en-US"/>
        </w:rPr>
        <w:t>end of</w:t>
      </w:r>
      <w:r w:rsidR="00355572">
        <w:rPr>
          <w:lang w:val="en-US"/>
        </w:rPr>
        <w:t xml:space="preserve"> the</w:t>
      </w:r>
      <w:r w:rsidR="006B6D5D">
        <w:rPr>
          <w:lang w:val="en-US"/>
        </w:rPr>
        <w:t xml:space="preserve"> </w:t>
      </w:r>
      <w:r w:rsidR="00402750">
        <w:rPr>
          <w:lang w:val="en-US"/>
        </w:rPr>
        <w:t>202</w:t>
      </w:r>
      <w:r w:rsidR="006B6D5D">
        <w:rPr>
          <w:lang w:val="en-US"/>
        </w:rPr>
        <w:t>0</w:t>
      </w:r>
      <w:r w:rsidR="00402750">
        <w:rPr>
          <w:lang w:val="en-US"/>
        </w:rPr>
        <w:t>/2</w:t>
      </w:r>
      <w:r w:rsidR="006B6D5D">
        <w:rPr>
          <w:lang w:val="en-US"/>
        </w:rPr>
        <w:t>1</w:t>
      </w:r>
      <w:r w:rsidR="00402750">
        <w:rPr>
          <w:lang w:val="en-US"/>
        </w:rPr>
        <w:t xml:space="preserve"> financial year</w:t>
      </w:r>
      <w:r w:rsidR="00D027DE">
        <w:rPr>
          <w:lang w:val="en-US"/>
        </w:rPr>
        <w:t>.</w:t>
      </w:r>
      <w:r w:rsidR="002E3D06">
        <w:rPr>
          <w:lang w:val="en-US"/>
        </w:rPr>
        <w:t xml:space="preserve"> This has raised concerns over debt management and </w:t>
      </w:r>
      <w:r w:rsidR="004403FF">
        <w:rPr>
          <w:lang w:val="en-US"/>
        </w:rPr>
        <w:t xml:space="preserve">likely </w:t>
      </w:r>
      <w:r w:rsidR="002E3D06">
        <w:rPr>
          <w:lang w:val="en-US"/>
        </w:rPr>
        <w:t>debt stress</w:t>
      </w:r>
      <w:r w:rsidR="004403FF">
        <w:rPr>
          <w:lang w:val="en-US"/>
        </w:rPr>
        <w:t xml:space="preserve"> for Uganda</w:t>
      </w:r>
      <w:r w:rsidR="002E3D06">
        <w:rPr>
          <w:lang w:val="en-US"/>
        </w:rPr>
        <w:t xml:space="preserve">. </w:t>
      </w:r>
    </w:p>
    <w:p w14:paraId="56DEE89F" w14:textId="09E19166" w:rsidR="00D027DE" w:rsidRDefault="00F66AD3" w:rsidP="000C7846">
      <w:pPr>
        <w:tabs>
          <w:tab w:val="left" w:pos="7655"/>
        </w:tabs>
        <w:rPr>
          <w:lang w:val="en-US"/>
        </w:rPr>
      </w:pPr>
      <w:r>
        <w:rPr>
          <w:lang w:val="en-US"/>
        </w:rPr>
        <w:t xml:space="preserve">The majority </w:t>
      </w:r>
      <w:r w:rsidR="00D027DE">
        <w:rPr>
          <w:lang w:val="en-US"/>
        </w:rPr>
        <w:t>of the IFI loan</w:t>
      </w:r>
      <w:r w:rsidR="006B471D">
        <w:rPr>
          <w:lang w:val="en-US"/>
        </w:rPr>
        <w:t>s</w:t>
      </w:r>
      <w:r w:rsidR="00D027DE">
        <w:rPr>
          <w:lang w:val="en-US"/>
        </w:rPr>
        <w:t xml:space="preserve"> disbursed during the </w:t>
      </w:r>
      <w:r w:rsidR="002B60CE">
        <w:rPr>
          <w:lang w:val="en-US"/>
        </w:rPr>
        <w:t>three and</w:t>
      </w:r>
      <w:r w:rsidR="000C7846">
        <w:rPr>
          <w:lang w:val="en-US"/>
        </w:rPr>
        <w:t xml:space="preserve"> a</w:t>
      </w:r>
      <w:r w:rsidR="002B60CE">
        <w:rPr>
          <w:lang w:val="en-US"/>
        </w:rPr>
        <w:t xml:space="preserve"> half y</w:t>
      </w:r>
      <w:r w:rsidR="00D027DE">
        <w:rPr>
          <w:lang w:val="en-US"/>
        </w:rPr>
        <w:t xml:space="preserve">ears under review </w:t>
      </w:r>
      <w:r w:rsidR="00FD4317">
        <w:rPr>
          <w:lang w:val="en-US"/>
        </w:rPr>
        <w:t xml:space="preserve">were </w:t>
      </w:r>
      <w:r w:rsidR="00D027DE">
        <w:rPr>
          <w:lang w:val="en-US"/>
        </w:rPr>
        <w:t xml:space="preserve">approved </w:t>
      </w:r>
      <w:r w:rsidR="006B471D">
        <w:rPr>
          <w:lang w:val="en-US"/>
        </w:rPr>
        <w:t>before 2018</w:t>
      </w:r>
      <w:r w:rsidR="00FD4317">
        <w:rPr>
          <w:lang w:val="en-US"/>
        </w:rPr>
        <w:t>; however,</w:t>
      </w:r>
      <w:r w:rsidR="006B6D5D">
        <w:rPr>
          <w:lang w:val="en-US"/>
        </w:rPr>
        <w:t xml:space="preserve"> </w:t>
      </w:r>
      <w:r w:rsidR="00FD4317">
        <w:rPr>
          <w:lang w:val="en-US"/>
        </w:rPr>
        <w:t xml:space="preserve">although fewer </w:t>
      </w:r>
      <w:r w:rsidR="006B6D5D">
        <w:rPr>
          <w:lang w:val="en-US"/>
        </w:rPr>
        <w:t>loans</w:t>
      </w:r>
      <w:r w:rsidR="00FD4317">
        <w:rPr>
          <w:lang w:val="en-US"/>
        </w:rPr>
        <w:t xml:space="preserve"> were</w:t>
      </w:r>
      <w:r w:rsidR="006B6D5D">
        <w:rPr>
          <w:lang w:val="en-US"/>
        </w:rPr>
        <w:t xml:space="preserve"> committed and</w:t>
      </w:r>
      <w:r w:rsidR="000A76FE">
        <w:rPr>
          <w:lang w:val="en-US"/>
        </w:rPr>
        <w:t>/</w:t>
      </w:r>
      <w:r w:rsidR="006B6D5D">
        <w:rPr>
          <w:lang w:val="en-US"/>
        </w:rPr>
        <w:t>or disbursed in 2020 and 2021</w:t>
      </w:r>
      <w:r w:rsidR="000A76FE">
        <w:rPr>
          <w:lang w:val="en-US"/>
        </w:rPr>
        <w:t>,</w:t>
      </w:r>
      <w:r w:rsidR="006B6D5D">
        <w:rPr>
          <w:lang w:val="en-US"/>
        </w:rPr>
        <w:t xml:space="preserve"> </w:t>
      </w:r>
      <w:r w:rsidR="00FD4317">
        <w:rPr>
          <w:lang w:val="en-US"/>
        </w:rPr>
        <w:t xml:space="preserve">they </w:t>
      </w:r>
      <w:r w:rsidR="006B6D5D">
        <w:rPr>
          <w:lang w:val="en-US"/>
        </w:rPr>
        <w:t xml:space="preserve">exceed loans </w:t>
      </w:r>
      <w:r w:rsidR="003B1091">
        <w:rPr>
          <w:lang w:val="en-US"/>
        </w:rPr>
        <w:t xml:space="preserve">committed and/or </w:t>
      </w:r>
      <w:r w:rsidR="00FD4317">
        <w:rPr>
          <w:lang w:val="en-US"/>
        </w:rPr>
        <w:t xml:space="preserve">disbursed in 2018 and 2019 </w:t>
      </w:r>
      <w:r w:rsidR="006B6D5D">
        <w:rPr>
          <w:lang w:val="en-US"/>
        </w:rPr>
        <w:t>in volume terms</w:t>
      </w:r>
      <w:r w:rsidR="00D027DE">
        <w:rPr>
          <w:lang w:val="en-US"/>
        </w:rPr>
        <w:t xml:space="preserve">. </w:t>
      </w:r>
    </w:p>
    <w:p w14:paraId="4C07EBAE" w14:textId="7C3CAE8E" w:rsidR="002A1527" w:rsidRDefault="00877C9E" w:rsidP="00402750">
      <w:pPr>
        <w:rPr>
          <w:lang w:val="en-US"/>
        </w:rPr>
      </w:pPr>
      <w:r>
        <w:rPr>
          <w:lang w:val="en-US"/>
        </w:rPr>
        <w:t xml:space="preserve">Uganda is increasingly relying on IFI </w:t>
      </w:r>
      <w:r w:rsidR="004E62D8">
        <w:rPr>
          <w:lang w:val="en-US"/>
        </w:rPr>
        <w:t>lending modalities</w:t>
      </w:r>
      <w:r>
        <w:rPr>
          <w:lang w:val="en-US"/>
        </w:rPr>
        <w:t xml:space="preserve"> to offset </w:t>
      </w:r>
      <w:r w:rsidR="004E62D8">
        <w:rPr>
          <w:lang w:val="en-US"/>
        </w:rPr>
        <w:t>external financing</w:t>
      </w:r>
      <w:r>
        <w:rPr>
          <w:lang w:val="en-US"/>
        </w:rPr>
        <w:t xml:space="preserve"> shortfalls and budget deficits arising from the impact of the pandemic on domestic resource </w:t>
      </w:r>
      <w:proofErr w:type="spellStart"/>
      <w:r w:rsidR="009F070E">
        <w:rPr>
          <w:lang w:val="en-US"/>
        </w:rPr>
        <w:t>mobili</w:t>
      </w:r>
      <w:r w:rsidR="003D50E9">
        <w:rPr>
          <w:lang w:val="en-US"/>
        </w:rPr>
        <w:t>s</w:t>
      </w:r>
      <w:r w:rsidR="009F070E">
        <w:rPr>
          <w:lang w:val="en-US"/>
        </w:rPr>
        <w:t>ation</w:t>
      </w:r>
      <w:proofErr w:type="spellEnd"/>
      <w:r w:rsidR="009F070E">
        <w:rPr>
          <w:lang w:val="en-US"/>
        </w:rPr>
        <w:t>.</w:t>
      </w:r>
      <w:r w:rsidR="005D6DB9">
        <w:rPr>
          <w:rStyle w:val="EndnoteReference"/>
          <w:lang w:val="en-US"/>
        </w:rPr>
        <w:endnoteReference w:id="51"/>
      </w:r>
      <w:r>
        <w:rPr>
          <w:lang w:val="en-US"/>
        </w:rPr>
        <w:t xml:space="preserve"> </w:t>
      </w:r>
      <w:r w:rsidR="008B7429">
        <w:rPr>
          <w:lang w:val="en-US"/>
        </w:rPr>
        <w:t xml:space="preserve">In our </w:t>
      </w:r>
      <w:r w:rsidR="00402750">
        <w:rPr>
          <w:lang w:val="en-US"/>
        </w:rPr>
        <w:t xml:space="preserve">complementary </w:t>
      </w:r>
      <w:hyperlink r:id="rId20" w:history="1">
        <w:r w:rsidR="00402750" w:rsidRPr="009F070E">
          <w:rPr>
            <w:rStyle w:val="Hyperlink"/>
            <w:lang w:val="en-US"/>
          </w:rPr>
          <w:t xml:space="preserve">analysis of </w:t>
        </w:r>
        <w:r w:rsidR="00D027DE" w:rsidRPr="009F070E">
          <w:rPr>
            <w:rStyle w:val="Hyperlink"/>
            <w:lang w:val="en-US"/>
          </w:rPr>
          <w:t xml:space="preserve">domestic financial </w:t>
        </w:r>
        <w:r w:rsidR="006B6D5D" w:rsidRPr="009F070E">
          <w:rPr>
            <w:rStyle w:val="Hyperlink"/>
            <w:lang w:val="en-US"/>
          </w:rPr>
          <w:t>flows</w:t>
        </w:r>
      </w:hyperlink>
      <w:r w:rsidR="009F070E" w:rsidRPr="009F070E">
        <w:rPr>
          <w:lang w:val="en-US"/>
        </w:rPr>
        <w:t xml:space="preserve"> </w:t>
      </w:r>
      <w:r w:rsidR="009F070E">
        <w:rPr>
          <w:lang w:val="en-US"/>
        </w:rPr>
        <w:t xml:space="preserve">we find that Uganda’s domestic resource </w:t>
      </w:r>
      <w:proofErr w:type="spellStart"/>
      <w:r w:rsidR="009F070E">
        <w:rPr>
          <w:lang w:val="en-US"/>
        </w:rPr>
        <w:t>mobilisation</w:t>
      </w:r>
      <w:proofErr w:type="spellEnd"/>
      <w:r w:rsidR="009F070E">
        <w:rPr>
          <w:lang w:val="en-US"/>
        </w:rPr>
        <w:t xml:space="preserve"> capacity was greatly impacted by the Covid-19 pandemic, leading to a significant shortfall in revenues and resources.</w:t>
      </w:r>
      <w:r w:rsidR="006B471D">
        <w:rPr>
          <w:rStyle w:val="EndnoteReference"/>
          <w:lang w:val="en-US"/>
        </w:rPr>
        <w:endnoteReference w:id="52"/>
      </w:r>
      <w:r w:rsidR="00E71B1E">
        <w:rPr>
          <w:lang w:val="en-US"/>
        </w:rPr>
        <w:t xml:space="preserve"> </w:t>
      </w:r>
    </w:p>
    <w:p w14:paraId="4D23AA01" w14:textId="09CD631E" w:rsidR="006E0B76" w:rsidRDefault="00695A4A" w:rsidP="00402750">
      <w:pPr>
        <w:rPr>
          <w:lang w:val="en-US"/>
        </w:rPr>
      </w:pPr>
      <w:r>
        <w:rPr>
          <w:lang w:val="en-US"/>
        </w:rPr>
        <w:t xml:space="preserve">There is a financing gap in the health sector </w:t>
      </w:r>
      <w:r w:rsidR="001767FC">
        <w:rPr>
          <w:lang w:val="en-US"/>
        </w:rPr>
        <w:t>due to a</w:t>
      </w:r>
      <w:r>
        <w:rPr>
          <w:lang w:val="en-US"/>
        </w:rPr>
        <w:t xml:space="preserve"> decline in grants and increased pressure from the C</w:t>
      </w:r>
      <w:r w:rsidR="0015034D">
        <w:rPr>
          <w:lang w:val="en-US"/>
        </w:rPr>
        <w:t>ovid-19</w:t>
      </w:r>
      <w:r>
        <w:rPr>
          <w:lang w:val="en-US"/>
        </w:rPr>
        <w:t xml:space="preserve"> pandemic</w:t>
      </w:r>
      <w:r w:rsidR="001767FC">
        <w:rPr>
          <w:lang w:val="en-US"/>
        </w:rPr>
        <w:t>.</w:t>
      </w:r>
      <w:r w:rsidR="002573BE">
        <w:rPr>
          <w:rStyle w:val="EndnoteReference"/>
          <w:lang w:val="en-US"/>
        </w:rPr>
        <w:endnoteReference w:id="53"/>
      </w:r>
      <w:r w:rsidR="00E71B1E">
        <w:rPr>
          <w:lang w:val="en-US"/>
        </w:rPr>
        <w:t xml:space="preserve"> Findings from our </w:t>
      </w:r>
      <w:hyperlink r:id="rId21" w:history="1">
        <w:r w:rsidR="00E71B1E" w:rsidRPr="001767FC">
          <w:rPr>
            <w:rStyle w:val="Hyperlink"/>
            <w:lang w:val="en-US"/>
          </w:rPr>
          <w:t>analysis of foreign financial flows to Uganda</w:t>
        </w:r>
      </w:hyperlink>
      <w:r w:rsidR="00E71B1E">
        <w:rPr>
          <w:lang w:val="en-US"/>
        </w:rPr>
        <w:t xml:space="preserve"> indicated a significant decline in grants from key </w:t>
      </w:r>
      <w:r w:rsidR="00A731E4">
        <w:rPr>
          <w:lang w:val="en-US"/>
        </w:rPr>
        <w:t xml:space="preserve">bilateral </w:t>
      </w:r>
      <w:r w:rsidR="00E71B1E">
        <w:rPr>
          <w:lang w:val="en-US"/>
        </w:rPr>
        <w:t xml:space="preserve">donors </w:t>
      </w:r>
      <w:r w:rsidR="00EC138E">
        <w:rPr>
          <w:lang w:val="en-US"/>
        </w:rPr>
        <w:t>such as</w:t>
      </w:r>
      <w:r w:rsidR="00E71B1E">
        <w:rPr>
          <w:lang w:val="en-US"/>
        </w:rPr>
        <w:t xml:space="preserve"> the US and the UK</w:t>
      </w:r>
      <w:r w:rsidR="001767FC">
        <w:rPr>
          <w:lang w:val="en-US"/>
        </w:rPr>
        <w:t>.</w:t>
      </w:r>
      <w:r w:rsidR="002A1527">
        <w:rPr>
          <w:rStyle w:val="EndnoteReference"/>
          <w:lang w:val="en-US"/>
        </w:rPr>
        <w:endnoteReference w:id="54"/>
      </w:r>
      <w:r w:rsidR="002A1527">
        <w:rPr>
          <w:lang w:val="en-US"/>
        </w:rPr>
        <w:t xml:space="preserve"> </w:t>
      </w:r>
      <w:r w:rsidR="004E62D8">
        <w:rPr>
          <w:lang w:val="en-US"/>
        </w:rPr>
        <w:t>A</w:t>
      </w:r>
      <w:r w:rsidR="002A1527">
        <w:rPr>
          <w:lang w:val="en-US"/>
        </w:rPr>
        <w:t xml:space="preserve">llocation of </w:t>
      </w:r>
      <w:r w:rsidR="0016449D">
        <w:rPr>
          <w:lang w:val="en-US"/>
        </w:rPr>
        <w:t>C</w:t>
      </w:r>
      <w:r w:rsidR="002A1527">
        <w:rPr>
          <w:lang w:val="en-US"/>
        </w:rPr>
        <w:t xml:space="preserve">ovid-targeted loans from IFIs </w:t>
      </w:r>
      <w:r w:rsidR="001B7F5A">
        <w:rPr>
          <w:lang w:val="en-US"/>
        </w:rPr>
        <w:t>has focused more on economic recovery and li</w:t>
      </w:r>
      <w:r w:rsidR="00AE6215">
        <w:rPr>
          <w:lang w:val="en-US"/>
        </w:rPr>
        <w:t>velih</w:t>
      </w:r>
      <w:r w:rsidR="001B7F5A">
        <w:rPr>
          <w:lang w:val="en-US"/>
        </w:rPr>
        <w:t>oods than health systems</w:t>
      </w:r>
      <w:r w:rsidR="007320EA">
        <w:rPr>
          <w:lang w:val="en-US"/>
        </w:rPr>
        <w:t>.</w:t>
      </w:r>
      <w:r w:rsidR="005D6DB9">
        <w:rPr>
          <w:lang w:val="en-US"/>
        </w:rPr>
        <w:t xml:space="preserve"> </w:t>
      </w:r>
    </w:p>
    <w:p w14:paraId="421A5FBC" w14:textId="1B1EF992" w:rsidR="00402750" w:rsidRDefault="0049633B" w:rsidP="00402750">
      <w:pPr>
        <w:rPr>
          <w:lang w:val="en-US"/>
        </w:rPr>
      </w:pPr>
      <w:r>
        <w:rPr>
          <w:lang w:val="en-US"/>
        </w:rPr>
        <w:t xml:space="preserve">Despite </w:t>
      </w:r>
      <w:r w:rsidR="001767FC">
        <w:rPr>
          <w:lang w:val="en-US"/>
        </w:rPr>
        <w:t xml:space="preserve">health and social sectors </w:t>
      </w:r>
      <w:r>
        <w:rPr>
          <w:lang w:val="en-US"/>
        </w:rPr>
        <w:t xml:space="preserve">being a top priority </w:t>
      </w:r>
      <w:r w:rsidR="000C7846">
        <w:rPr>
          <w:lang w:val="en-US"/>
        </w:rPr>
        <w:t>for</w:t>
      </w:r>
      <w:r>
        <w:rPr>
          <w:lang w:val="en-US"/>
        </w:rPr>
        <w:t xml:space="preserve"> bilateral donors, </w:t>
      </w:r>
      <w:r w:rsidR="001767FC">
        <w:rPr>
          <w:lang w:val="en-US"/>
        </w:rPr>
        <w:t xml:space="preserve">diminishing </w:t>
      </w:r>
      <w:r>
        <w:rPr>
          <w:lang w:val="en-US"/>
        </w:rPr>
        <w:t xml:space="preserve">bilateral grants combined with limited support from IFIs in some sectors has resulted in an overall decline in international assistance </w:t>
      </w:r>
      <w:r w:rsidR="001767FC">
        <w:rPr>
          <w:lang w:val="en-US"/>
        </w:rPr>
        <w:t>to these areas.</w:t>
      </w:r>
      <w:r w:rsidR="00C64663">
        <w:rPr>
          <w:rStyle w:val="EndnoteReference"/>
          <w:lang w:val="en-US"/>
        </w:rPr>
        <w:endnoteReference w:id="55"/>
      </w:r>
      <w:r>
        <w:rPr>
          <w:lang w:val="en-US"/>
        </w:rPr>
        <w:t xml:space="preserve"> </w:t>
      </w:r>
      <w:r w:rsidR="001767FC">
        <w:rPr>
          <w:lang w:val="en-US"/>
        </w:rPr>
        <w:t>As the pandemic continues, Uganda’s a</w:t>
      </w:r>
      <w:r w:rsidR="00E71B1E">
        <w:rPr>
          <w:lang w:val="en-US"/>
        </w:rPr>
        <w:t xml:space="preserve">dditional borrowing </w:t>
      </w:r>
      <w:r w:rsidR="001767FC">
        <w:rPr>
          <w:lang w:val="en-US"/>
        </w:rPr>
        <w:t>(</w:t>
      </w:r>
      <w:r w:rsidR="00E71B1E">
        <w:rPr>
          <w:lang w:val="en-US"/>
        </w:rPr>
        <w:t>and the associate</w:t>
      </w:r>
      <w:r w:rsidR="006B6D5D">
        <w:rPr>
          <w:lang w:val="en-US"/>
        </w:rPr>
        <w:t>d</w:t>
      </w:r>
      <w:r w:rsidR="00E71B1E">
        <w:rPr>
          <w:lang w:val="en-US"/>
        </w:rPr>
        <w:t xml:space="preserve"> increase in allocations of resources to meet debt obligations</w:t>
      </w:r>
      <w:r w:rsidR="001767FC">
        <w:rPr>
          <w:lang w:val="en-US"/>
        </w:rPr>
        <w:t>)</w:t>
      </w:r>
      <w:r w:rsidR="00E71B1E">
        <w:rPr>
          <w:lang w:val="en-US"/>
        </w:rPr>
        <w:t xml:space="preserve"> </w:t>
      </w:r>
      <w:r w:rsidR="006B6D5D">
        <w:rPr>
          <w:lang w:val="en-US"/>
        </w:rPr>
        <w:t xml:space="preserve">is </w:t>
      </w:r>
      <w:r w:rsidR="00E71B1E">
        <w:rPr>
          <w:lang w:val="en-US"/>
        </w:rPr>
        <w:t>shr</w:t>
      </w:r>
      <w:r w:rsidR="006B6D5D">
        <w:rPr>
          <w:lang w:val="en-US"/>
        </w:rPr>
        <w:t>i</w:t>
      </w:r>
      <w:r w:rsidR="00E71B1E">
        <w:rPr>
          <w:lang w:val="en-US"/>
        </w:rPr>
        <w:t>nk</w:t>
      </w:r>
      <w:r w:rsidR="006B6D5D">
        <w:rPr>
          <w:lang w:val="en-US"/>
        </w:rPr>
        <w:t>ing</w:t>
      </w:r>
      <w:r w:rsidR="00E71B1E">
        <w:rPr>
          <w:lang w:val="en-US"/>
        </w:rPr>
        <w:t xml:space="preserve"> the </w:t>
      </w:r>
      <w:r w:rsidR="00402750">
        <w:rPr>
          <w:lang w:val="en-US"/>
        </w:rPr>
        <w:t xml:space="preserve">fiscal space </w:t>
      </w:r>
      <w:r w:rsidR="00E71B1E">
        <w:rPr>
          <w:lang w:val="en-US"/>
        </w:rPr>
        <w:t xml:space="preserve">and resources for </w:t>
      </w:r>
      <w:r w:rsidR="00402750">
        <w:rPr>
          <w:lang w:val="en-US"/>
        </w:rPr>
        <w:t>spend</w:t>
      </w:r>
      <w:r w:rsidR="00E71B1E">
        <w:rPr>
          <w:lang w:val="en-US"/>
        </w:rPr>
        <w:t xml:space="preserve">ing on </w:t>
      </w:r>
      <w:r w:rsidR="00402750">
        <w:rPr>
          <w:lang w:val="en-US"/>
        </w:rPr>
        <w:t>sectors</w:t>
      </w:r>
      <w:r w:rsidR="00E71B1E">
        <w:rPr>
          <w:lang w:val="en-US"/>
        </w:rPr>
        <w:t xml:space="preserve"> with </w:t>
      </w:r>
      <w:r w:rsidR="006E0B76">
        <w:rPr>
          <w:lang w:val="en-US"/>
        </w:rPr>
        <w:t xml:space="preserve">the most </w:t>
      </w:r>
      <w:r w:rsidR="003E607A">
        <w:rPr>
          <w:lang w:val="en-US"/>
        </w:rPr>
        <w:t xml:space="preserve">direct </w:t>
      </w:r>
      <w:r w:rsidR="00E71B1E">
        <w:rPr>
          <w:lang w:val="en-US"/>
        </w:rPr>
        <w:t>positive impact on the poor</w:t>
      </w:r>
      <w:r w:rsidR="00FD5CC9">
        <w:rPr>
          <w:lang w:val="en-US"/>
        </w:rPr>
        <w:t>est</w:t>
      </w:r>
      <w:r w:rsidR="006B6D5D">
        <w:rPr>
          <w:lang w:val="en-US"/>
        </w:rPr>
        <w:t xml:space="preserve"> and most vulnerable</w:t>
      </w:r>
      <w:r w:rsidR="00FD5CC9">
        <w:rPr>
          <w:lang w:val="en-US"/>
        </w:rPr>
        <w:t xml:space="preserve"> people</w:t>
      </w:r>
      <w:r w:rsidR="006E0B76">
        <w:rPr>
          <w:lang w:val="en-US"/>
        </w:rPr>
        <w:t>.</w:t>
      </w:r>
      <w:r w:rsidR="006B6D5D">
        <w:rPr>
          <w:rStyle w:val="EndnoteReference"/>
          <w:lang w:val="en-US"/>
        </w:rPr>
        <w:endnoteReference w:id="56"/>
      </w:r>
      <w:r w:rsidR="00E71B1E">
        <w:rPr>
          <w:lang w:val="en-US"/>
        </w:rPr>
        <w:t xml:space="preserve"> </w:t>
      </w:r>
    </w:p>
    <w:p w14:paraId="6BE0CD49" w14:textId="072CF07D" w:rsidR="00FF4061" w:rsidRDefault="00FF4061" w:rsidP="00FF4061">
      <w:pPr>
        <w:rPr>
          <w:lang w:val="en-US"/>
        </w:rPr>
      </w:pPr>
      <w:r>
        <w:rPr>
          <w:lang w:val="en-US"/>
        </w:rPr>
        <w:t xml:space="preserve">Uganda’s </w:t>
      </w:r>
      <w:r w:rsidR="00402750">
        <w:rPr>
          <w:lang w:val="en-US"/>
        </w:rPr>
        <w:t>long-term</w:t>
      </w:r>
      <w:r>
        <w:rPr>
          <w:lang w:val="en-US"/>
        </w:rPr>
        <w:t xml:space="preserve"> financing plans </w:t>
      </w:r>
      <w:r w:rsidR="001130B6">
        <w:rPr>
          <w:lang w:val="en-US"/>
        </w:rPr>
        <w:t>focus on</w:t>
      </w:r>
      <w:r>
        <w:rPr>
          <w:lang w:val="en-US"/>
        </w:rPr>
        <w:t xml:space="preserve"> improv</w:t>
      </w:r>
      <w:r w:rsidR="006B6D5D">
        <w:rPr>
          <w:lang w:val="en-US"/>
        </w:rPr>
        <w:t xml:space="preserve">ing </w:t>
      </w:r>
      <w:r w:rsidR="00402750">
        <w:rPr>
          <w:lang w:val="en-US"/>
        </w:rPr>
        <w:t xml:space="preserve">domestic resource </w:t>
      </w:r>
      <w:proofErr w:type="spellStart"/>
      <w:r w:rsidR="00402750">
        <w:rPr>
          <w:lang w:val="en-US"/>
        </w:rPr>
        <w:t>mobilisation</w:t>
      </w:r>
      <w:proofErr w:type="spellEnd"/>
      <w:r w:rsidR="001130B6">
        <w:rPr>
          <w:lang w:val="en-US"/>
        </w:rPr>
        <w:t>,</w:t>
      </w:r>
      <w:r w:rsidR="00402750">
        <w:rPr>
          <w:lang w:val="en-US"/>
        </w:rPr>
        <w:t xml:space="preserve"> </w:t>
      </w:r>
      <w:r>
        <w:rPr>
          <w:lang w:val="en-US"/>
        </w:rPr>
        <w:t>premised on economic recovery from</w:t>
      </w:r>
      <w:r w:rsidR="00F14AA0">
        <w:rPr>
          <w:lang w:val="en-US"/>
        </w:rPr>
        <w:t xml:space="preserve"> the economic shocks of</w:t>
      </w:r>
      <w:r>
        <w:rPr>
          <w:lang w:val="en-US"/>
        </w:rPr>
        <w:t xml:space="preserve"> the Covid-19 pandemic. This has also been the </w:t>
      </w:r>
      <w:r w:rsidR="007C67AF">
        <w:rPr>
          <w:lang w:val="en-US"/>
        </w:rPr>
        <w:t xml:space="preserve">government’s </w:t>
      </w:r>
      <w:r>
        <w:rPr>
          <w:lang w:val="en-US"/>
        </w:rPr>
        <w:t xml:space="preserve">major justification for new loans from the IMF under the </w:t>
      </w:r>
      <w:r w:rsidR="00515400">
        <w:rPr>
          <w:lang w:val="en-US"/>
        </w:rPr>
        <w:t>E</w:t>
      </w:r>
      <w:r>
        <w:rPr>
          <w:lang w:val="en-US"/>
        </w:rPr>
        <w:t xml:space="preserve">xtended </w:t>
      </w:r>
      <w:r w:rsidR="00515400">
        <w:rPr>
          <w:lang w:val="en-US"/>
        </w:rPr>
        <w:t>C</w:t>
      </w:r>
      <w:r>
        <w:rPr>
          <w:lang w:val="en-US"/>
        </w:rPr>
        <w:t xml:space="preserve">redit </w:t>
      </w:r>
      <w:r w:rsidR="00515400">
        <w:rPr>
          <w:lang w:val="en-US"/>
        </w:rPr>
        <w:t>F</w:t>
      </w:r>
      <w:r>
        <w:rPr>
          <w:lang w:val="en-US"/>
        </w:rPr>
        <w:t xml:space="preserve">acility to Uganda. </w:t>
      </w:r>
    </w:p>
    <w:p w14:paraId="62BD9ACB" w14:textId="540721BE" w:rsidR="00402750" w:rsidRDefault="00B660B2" w:rsidP="00402750">
      <w:pPr>
        <w:rPr>
          <w:lang w:val="en-US"/>
        </w:rPr>
      </w:pPr>
      <w:r>
        <w:rPr>
          <w:lang w:val="en-US"/>
        </w:rPr>
        <w:lastRenderedPageBreak/>
        <w:t>The</w:t>
      </w:r>
      <w:r w:rsidR="00C64663">
        <w:rPr>
          <w:lang w:val="en-US"/>
        </w:rPr>
        <w:t xml:space="preserve"> p</w:t>
      </w:r>
      <w:r w:rsidR="003A1564">
        <w:rPr>
          <w:lang w:val="en-US"/>
        </w:rPr>
        <w:t>ubli</w:t>
      </w:r>
      <w:r>
        <w:rPr>
          <w:lang w:val="en-US"/>
        </w:rPr>
        <w:t>cation of</w:t>
      </w:r>
      <w:r w:rsidR="003A1564">
        <w:rPr>
          <w:lang w:val="en-US"/>
        </w:rPr>
        <w:t xml:space="preserve"> information </w:t>
      </w:r>
      <w:r w:rsidR="00F14AA0">
        <w:rPr>
          <w:lang w:val="en-US"/>
        </w:rPr>
        <w:t>about loans</w:t>
      </w:r>
      <w:r>
        <w:rPr>
          <w:lang w:val="en-US"/>
        </w:rPr>
        <w:t xml:space="preserve"> (</w:t>
      </w:r>
      <w:r w:rsidR="003A1564">
        <w:rPr>
          <w:lang w:val="en-US"/>
        </w:rPr>
        <w:t xml:space="preserve">including </w:t>
      </w:r>
      <w:r w:rsidR="002A1527">
        <w:rPr>
          <w:lang w:val="en-US"/>
        </w:rPr>
        <w:t>details of terms and conditions</w:t>
      </w:r>
      <w:r w:rsidR="003A1564">
        <w:rPr>
          <w:lang w:val="en-US"/>
        </w:rPr>
        <w:t xml:space="preserve"> </w:t>
      </w:r>
      <w:r w:rsidR="00687691">
        <w:rPr>
          <w:lang w:val="en-US"/>
        </w:rPr>
        <w:t xml:space="preserve">regarding </w:t>
      </w:r>
      <w:r w:rsidR="00215337">
        <w:rPr>
          <w:lang w:val="en-US"/>
        </w:rPr>
        <w:t>prudent use</w:t>
      </w:r>
      <w:r>
        <w:rPr>
          <w:lang w:val="en-US"/>
        </w:rPr>
        <w:t>)</w:t>
      </w:r>
      <w:r w:rsidR="00933D4E">
        <w:rPr>
          <w:lang w:val="en-US"/>
        </w:rPr>
        <w:t xml:space="preserve"> </w:t>
      </w:r>
      <w:r>
        <w:rPr>
          <w:lang w:val="en-US"/>
        </w:rPr>
        <w:t xml:space="preserve">by IFIs </w:t>
      </w:r>
      <w:r w:rsidR="00C64663">
        <w:rPr>
          <w:lang w:val="en-US"/>
        </w:rPr>
        <w:t>i</w:t>
      </w:r>
      <w:r w:rsidR="003A1564">
        <w:rPr>
          <w:lang w:val="en-US"/>
        </w:rPr>
        <w:t>s a positive measure</w:t>
      </w:r>
      <w:r w:rsidR="002A1527">
        <w:rPr>
          <w:lang w:val="en-US"/>
        </w:rPr>
        <w:t xml:space="preserve"> that</w:t>
      </w:r>
      <w:r w:rsidR="003A1564">
        <w:rPr>
          <w:lang w:val="en-US"/>
        </w:rPr>
        <w:t xml:space="preserve"> improves transparency and </w:t>
      </w:r>
      <w:r>
        <w:rPr>
          <w:lang w:val="en-US"/>
        </w:rPr>
        <w:t>means</w:t>
      </w:r>
      <w:r w:rsidR="002C17CB">
        <w:rPr>
          <w:lang w:val="en-US"/>
        </w:rPr>
        <w:t xml:space="preserve"> borrowers can be held to account</w:t>
      </w:r>
      <w:r w:rsidR="00933D4E">
        <w:rPr>
          <w:lang w:val="en-US"/>
        </w:rPr>
        <w:t>, for instance by ensuring loan funds are not mismanaged or diverted</w:t>
      </w:r>
      <w:r w:rsidR="003A1564">
        <w:rPr>
          <w:lang w:val="en-US"/>
        </w:rPr>
        <w:t xml:space="preserve">. While more </w:t>
      </w:r>
      <w:r w:rsidR="006D7A71">
        <w:rPr>
          <w:lang w:val="en-US"/>
        </w:rPr>
        <w:t xml:space="preserve">speed and </w:t>
      </w:r>
      <w:r w:rsidR="003A1564">
        <w:rPr>
          <w:lang w:val="en-US"/>
        </w:rPr>
        <w:t xml:space="preserve">flexibility </w:t>
      </w:r>
      <w:r w:rsidR="00AE6215">
        <w:rPr>
          <w:lang w:val="en-US"/>
        </w:rPr>
        <w:t xml:space="preserve">are </w:t>
      </w:r>
      <w:r w:rsidR="006D7A71">
        <w:rPr>
          <w:lang w:val="en-US"/>
        </w:rPr>
        <w:t xml:space="preserve">crucial in </w:t>
      </w:r>
      <w:r w:rsidR="002C17CB">
        <w:rPr>
          <w:lang w:val="en-US"/>
        </w:rPr>
        <w:t xml:space="preserve">times of </w:t>
      </w:r>
      <w:r w:rsidR="006D7A71">
        <w:rPr>
          <w:lang w:val="en-US"/>
        </w:rPr>
        <w:t xml:space="preserve">crisis, safeguards that guarantee accountability and curb wastage by the borrowers are equally important.  </w:t>
      </w:r>
    </w:p>
    <w:p w14:paraId="1767B35A" w14:textId="09ABC953" w:rsidR="0042496E" w:rsidRDefault="0042496E">
      <w:pPr>
        <w:spacing w:before="0" w:line="240" w:lineRule="auto"/>
        <w:rPr>
          <w:lang w:val="en-US"/>
        </w:rPr>
      </w:pPr>
      <w:r>
        <w:rPr>
          <w:lang w:val="en-US"/>
        </w:rPr>
        <w:br w:type="page"/>
      </w:r>
    </w:p>
    <w:p w14:paraId="1E57282E" w14:textId="6866A597" w:rsidR="003A1564" w:rsidRPr="00425FC2" w:rsidRDefault="0042496E" w:rsidP="00425FC2">
      <w:pPr>
        <w:pStyle w:val="Heading1"/>
      </w:pPr>
      <w:bookmarkStart w:id="41" w:name="_Annex"/>
      <w:bookmarkStart w:id="42" w:name="_Toc91097899"/>
      <w:bookmarkEnd w:id="41"/>
      <w:r w:rsidRPr="00425FC2">
        <w:lastRenderedPageBreak/>
        <w:t>Annex</w:t>
      </w:r>
      <w:bookmarkEnd w:id="42"/>
    </w:p>
    <w:p w14:paraId="3D0D5313" w14:textId="6B07977B" w:rsidR="0042496E" w:rsidRDefault="0042496E" w:rsidP="0042496E">
      <w:pPr>
        <w:pStyle w:val="Tabletitle"/>
        <w:rPr>
          <w:lang w:val="en-US"/>
        </w:rPr>
      </w:pPr>
      <w:bookmarkStart w:id="43" w:name="TabA1"/>
      <w:r>
        <w:rPr>
          <w:lang w:val="en-US"/>
        </w:rPr>
        <w:t>Table A1: World Bank loan</w:t>
      </w:r>
      <w:r w:rsidR="002C17CB">
        <w:rPr>
          <w:lang w:val="en-US"/>
        </w:rPr>
        <w:t>-</w:t>
      </w:r>
      <w:r>
        <w:rPr>
          <w:lang w:val="en-US"/>
        </w:rPr>
        <w:t xml:space="preserve">financed projects for the period from </w:t>
      </w:r>
      <w:r w:rsidR="0079721A">
        <w:rPr>
          <w:lang w:val="en-US"/>
        </w:rPr>
        <w:t xml:space="preserve">January </w:t>
      </w:r>
      <w:r>
        <w:rPr>
          <w:lang w:val="en-US"/>
        </w:rPr>
        <w:t>2018</w:t>
      </w:r>
      <w:r w:rsidR="0079721A">
        <w:rPr>
          <w:lang w:val="en-US"/>
        </w:rPr>
        <w:t xml:space="preserve"> to June </w:t>
      </w:r>
      <w:r>
        <w:rPr>
          <w:lang w:val="en-US"/>
        </w:rPr>
        <w:t>2021 (US$ million)</w:t>
      </w:r>
    </w:p>
    <w:tbl>
      <w:tblPr>
        <w:tblStyle w:val="DItable"/>
        <w:tblW w:w="8359" w:type="dxa"/>
        <w:tblLook w:val="0420" w:firstRow="1" w:lastRow="0" w:firstColumn="0" w:lastColumn="0" w:noHBand="0" w:noVBand="1"/>
      </w:tblPr>
      <w:tblGrid>
        <w:gridCol w:w="4820"/>
        <w:gridCol w:w="667"/>
        <w:gridCol w:w="851"/>
        <w:gridCol w:w="709"/>
        <w:gridCol w:w="689"/>
        <w:gridCol w:w="817"/>
      </w:tblGrid>
      <w:tr w:rsidR="0042496E" w:rsidRPr="00B452A7" w14:paraId="28D86271" w14:textId="77777777" w:rsidTr="009D7657">
        <w:trPr>
          <w:cnfStyle w:val="100000000000" w:firstRow="1" w:lastRow="0" w:firstColumn="0" w:lastColumn="0" w:oddVBand="0" w:evenVBand="0" w:oddHBand="0" w:evenHBand="0" w:firstRowFirstColumn="0" w:firstRowLastColumn="0" w:lastRowFirstColumn="0" w:lastRowLastColumn="0"/>
          <w:trHeight w:val="280"/>
        </w:trPr>
        <w:tc>
          <w:tcPr>
            <w:tcW w:w="4820" w:type="dxa"/>
            <w:shd w:val="clear" w:color="auto" w:fill="FFFFFF" w:themeFill="background1"/>
            <w:noWrap/>
            <w:hideMark/>
          </w:tcPr>
          <w:bookmarkEnd w:id="43"/>
          <w:p w14:paraId="4338CD4E" w14:textId="77777777" w:rsidR="0042496E" w:rsidRPr="009D7657" w:rsidRDefault="0042496E" w:rsidP="006D3218">
            <w:pPr>
              <w:pStyle w:val="Tabletext"/>
              <w:rPr>
                <w:szCs w:val="18"/>
              </w:rPr>
            </w:pPr>
            <w:r w:rsidRPr="009D7657">
              <w:rPr>
                <w:szCs w:val="18"/>
              </w:rPr>
              <w:t>Project</w:t>
            </w:r>
          </w:p>
        </w:tc>
        <w:tc>
          <w:tcPr>
            <w:tcW w:w="581" w:type="dxa"/>
            <w:shd w:val="clear" w:color="auto" w:fill="FFFFFF" w:themeFill="background1"/>
            <w:noWrap/>
            <w:hideMark/>
          </w:tcPr>
          <w:p w14:paraId="7528F529" w14:textId="77777777" w:rsidR="0042496E" w:rsidRPr="009D7657" w:rsidRDefault="0042496E" w:rsidP="006D3218">
            <w:pPr>
              <w:pStyle w:val="Tabletext"/>
              <w:rPr>
                <w:szCs w:val="18"/>
              </w:rPr>
            </w:pPr>
            <w:r w:rsidRPr="009D7657">
              <w:rPr>
                <w:szCs w:val="18"/>
              </w:rPr>
              <w:t>2018</w:t>
            </w:r>
          </w:p>
        </w:tc>
        <w:tc>
          <w:tcPr>
            <w:tcW w:w="851" w:type="dxa"/>
            <w:shd w:val="clear" w:color="auto" w:fill="FFFFFF" w:themeFill="background1"/>
            <w:noWrap/>
            <w:hideMark/>
          </w:tcPr>
          <w:p w14:paraId="3F521F34" w14:textId="77777777" w:rsidR="0042496E" w:rsidRPr="009D7657" w:rsidRDefault="0042496E" w:rsidP="006D3218">
            <w:pPr>
              <w:pStyle w:val="Tabletext"/>
              <w:rPr>
                <w:szCs w:val="18"/>
              </w:rPr>
            </w:pPr>
            <w:r w:rsidRPr="009D7657">
              <w:rPr>
                <w:szCs w:val="18"/>
              </w:rPr>
              <w:t>2019</w:t>
            </w:r>
          </w:p>
        </w:tc>
        <w:tc>
          <w:tcPr>
            <w:tcW w:w="709" w:type="dxa"/>
            <w:shd w:val="clear" w:color="auto" w:fill="FFFFFF" w:themeFill="background1"/>
            <w:noWrap/>
            <w:hideMark/>
          </w:tcPr>
          <w:p w14:paraId="4C83EABA" w14:textId="77777777" w:rsidR="0042496E" w:rsidRPr="009D7657" w:rsidRDefault="0042496E" w:rsidP="006D3218">
            <w:pPr>
              <w:pStyle w:val="Tabletext"/>
              <w:rPr>
                <w:szCs w:val="18"/>
              </w:rPr>
            </w:pPr>
            <w:r w:rsidRPr="009D7657">
              <w:rPr>
                <w:szCs w:val="18"/>
              </w:rPr>
              <w:t>2020</w:t>
            </w:r>
          </w:p>
        </w:tc>
        <w:tc>
          <w:tcPr>
            <w:tcW w:w="689" w:type="dxa"/>
            <w:shd w:val="clear" w:color="auto" w:fill="FFFFFF" w:themeFill="background1"/>
            <w:noWrap/>
            <w:hideMark/>
          </w:tcPr>
          <w:p w14:paraId="7BD0BD6E" w14:textId="77777777" w:rsidR="0042496E" w:rsidRPr="009D7657" w:rsidRDefault="0042496E" w:rsidP="006D3218">
            <w:pPr>
              <w:pStyle w:val="Tabletext"/>
              <w:rPr>
                <w:szCs w:val="18"/>
              </w:rPr>
            </w:pPr>
            <w:r w:rsidRPr="009D7657">
              <w:rPr>
                <w:szCs w:val="18"/>
              </w:rPr>
              <w:t>2021</w:t>
            </w:r>
          </w:p>
        </w:tc>
        <w:tc>
          <w:tcPr>
            <w:tcW w:w="709" w:type="dxa"/>
            <w:shd w:val="clear" w:color="auto" w:fill="FFFFFF" w:themeFill="background1"/>
            <w:noWrap/>
            <w:hideMark/>
          </w:tcPr>
          <w:p w14:paraId="12001954" w14:textId="77777777" w:rsidR="0042496E" w:rsidRPr="009D7657" w:rsidRDefault="0042496E" w:rsidP="006D3218">
            <w:pPr>
              <w:pStyle w:val="Tabletext"/>
              <w:rPr>
                <w:szCs w:val="18"/>
              </w:rPr>
            </w:pPr>
            <w:r w:rsidRPr="009D7657">
              <w:rPr>
                <w:szCs w:val="18"/>
              </w:rPr>
              <w:t>Total</w:t>
            </w:r>
          </w:p>
        </w:tc>
      </w:tr>
      <w:tr w:rsidR="0042496E" w:rsidRPr="00B452A7" w14:paraId="1117D699" w14:textId="77777777" w:rsidTr="00686A50">
        <w:trPr>
          <w:trHeight w:val="280"/>
        </w:trPr>
        <w:tc>
          <w:tcPr>
            <w:tcW w:w="4820" w:type="dxa"/>
            <w:noWrap/>
            <w:hideMark/>
          </w:tcPr>
          <w:p w14:paraId="10454200" w14:textId="1D4B3F53" w:rsidR="0042496E" w:rsidRPr="007E302D" w:rsidRDefault="0042496E" w:rsidP="006D3218">
            <w:pPr>
              <w:pStyle w:val="Tabletext"/>
              <w:rPr>
                <w:szCs w:val="18"/>
              </w:rPr>
            </w:pPr>
            <w:r w:rsidRPr="007E302D">
              <w:rPr>
                <w:szCs w:val="18"/>
              </w:rPr>
              <w:t>Uganda C</w:t>
            </w:r>
            <w:r w:rsidR="0079721A">
              <w:rPr>
                <w:szCs w:val="18"/>
              </w:rPr>
              <w:t>ovid</w:t>
            </w:r>
            <w:r w:rsidRPr="007E302D">
              <w:rPr>
                <w:szCs w:val="18"/>
              </w:rPr>
              <w:t>-19 Economic Crisis and Recovery Development Policy Financing</w:t>
            </w:r>
          </w:p>
        </w:tc>
        <w:tc>
          <w:tcPr>
            <w:tcW w:w="581" w:type="dxa"/>
            <w:noWrap/>
            <w:hideMark/>
          </w:tcPr>
          <w:p w14:paraId="4C01AF46" w14:textId="77777777" w:rsidR="0042496E" w:rsidRPr="007E302D" w:rsidRDefault="0042496E" w:rsidP="006D3218">
            <w:pPr>
              <w:pStyle w:val="Tabletext"/>
              <w:jc w:val="center"/>
              <w:rPr>
                <w:b/>
                <w:bCs/>
                <w:szCs w:val="18"/>
              </w:rPr>
            </w:pPr>
          </w:p>
        </w:tc>
        <w:tc>
          <w:tcPr>
            <w:tcW w:w="851" w:type="dxa"/>
            <w:noWrap/>
            <w:hideMark/>
          </w:tcPr>
          <w:p w14:paraId="77ADEFE3" w14:textId="77777777" w:rsidR="0042496E" w:rsidRPr="007E302D" w:rsidRDefault="0042496E" w:rsidP="006D3218">
            <w:pPr>
              <w:pStyle w:val="Tabletext"/>
              <w:jc w:val="center"/>
              <w:rPr>
                <w:b/>
                <w:bCs/>
                <w:szCs w:val="18"/>
              </w:rPr>
            </w:pPr>
          </w:p>
        </w:tc>
        <w:tc>
          <w:tcPr>
            <w:tcW w:w="709" w:type="dxa"/>
            <w:noWrap/>
            <w:hideMark/>
          </w:tcPr>
          <w:p w14:paraId="66D8C109" w14:textId="77777777" w:rsidR="0042496E" w:rsidRPr="007E302D" w:rsidRDefault="0042496E" w:rsidP="006D3218">
            <w:pPr>
              <w:pStyle w:val="Tabletext"/>
              <w:jc w:val="center"/>
              <w:rPr>
                <w:b/>
                <w:bCs/>
                <w:szCs w:val="18"/>
              </w:rPr>
            </w:pPr>
            <w:r w:rsidRPr="007E302D">
              <w:rPr>
                <w:b/>
                <w:bCs/>
                <w:szCs w:val="18"/>
              </w:rPr>
              <w:t>304.1</w:t>
            </w:r>
          </w:p>
        </w:tc>
        <w:tc>
          <w:tcPr>
            <w:tcW w:w="689" w:type="dxa"/>
            <w:noWrap/>
            <w:hideMark/>
          </w:tcPr>
          <w:p w14:paraId="247273ED" w14:textId="77777777" w:rsidR="0042496E" w:rsidRPr="007E302D" w:rsidRDefault="0042496E" w:rsidP="006D3218">
            <w:pPr>
              <w:pStyle w:val="Tabletext"/>
              <w:jc w:val="center"/>
              <w:rPr>
                <w:b/>
                <w:bCs/>
                <w:szCs w:val="18"/>
              </w:rPr>
            </w:pPr>
          </w:p>
        </w:tc>
        <w:tc>
          <w:tcPr>
            <w:tcW w:w="709" w:type="dxa"/>
            <w:noWrap/>
            <w:hideMark/>
          </w:tcPr>
          <w:p w14:paraId="55D61606" w14:textId="77777777" w:rsidR="0042496E" w:rsidRPr="007E302D" w:rsidRDefault="0042496E" w:rsidP="006D3218">
            <w:pPr>
              <w:pStyle w:val="Tabletext"/>
              <w:jc w:val="center"/>
              <w:rPr>
                <w:b/>
                <w:bCs/>
                <w:szCs w:val="18"/>
              </w:rPr>
            </w:pPr>
            <w:r w:rsidRPr="007E302D">
              <w:rPr>
                <w:b/>
                <w:bCs/>
                <w:szCs w:val="18"/>
              </w:rPr>
              <w:t>304.1</w:t>
            </w:r>
          </w:p>
        </w:tc>
      </w:tr>
      <w:tr w:rsidR="0042496E" w:rsidRPr="00B452A7" w14:paraId="101BDD99" w14:textId="77777777" w:rsidTr="00686A50">
        <w:trPr>
          <w:trHeight w:val="280"/>
        </w:trPr>
        <w:tc>
          <w:tcPr>
            <w:tcW w:w="4820" w:type="dxa"/>
            <w:noWrap/>
            <w:hideMark/>
          </w:tcPr>
          <w:p w14:paraId="5A906D11" w14:textId="77777777" w:rsidR="0042496E" w:rsidRPr="007E302D" w:rsidRDefault="0042496E" w:rsidP="006D3218">
            <w:pPr>
              <w:pStyle w:val="Tabletext"/>
              <w:rPr>
                <w:szCs w:val="18"/>
              </w:rPr>
            </w:pPr>
            <w:r w:rsidRPr="007E302D">
              <w:rPr>
                <w:szCs w:val="18"/>
              </w:rPr>
              <w:t>Uganda Intergovernmental Fiscal Transfers Program</w:t>
            </w:r>
          </w:p>
        </w:tc>
        <w:tc>
          <w:tcPr>
            <w:tcW w:w="581" w:type="dxa"/>
            <w:noWrap/>
            <w:hideMark/>
          </w:tcPr>
          <w:p w14:paraId="71B51BEF" w14:textId="77777777" w:rsidR="0042496E" w:rsidRPr="007E302D" w:rsidRDefault="0042496E" w:rsidP="006D3218">
            <w:pPr>
              <w:pStyle w:val="Tabletext"/>
              <w:jc w:val="center"/>
              <w:rPr>
                <w:szCs w:val="18"/>
              </w:rPr>
            </w:pPr>
          </w:p>
        </w:tc>
        <w:tc>
          <w:tcPr>
            <w:tcW w:w="851" w:type="dxa"/>
            <w:noWrap/>
            <w:hideMark/>
          </w:tcPr>
          <w:p w14:paraId="4BFD9C34" w14:textId="77777777" w:rsidR="0042496E" w:rsidRPr="007E302D" w:rsidRDefault="0042496E" w:rsidP="006D3218">
            <w:pPr>
              <w:pStyle w:val="Tabletext"/>
              <w:jc w:val="center"/>
              <w:rPr>
                <w:szCs w:val="18"/>
              </w:rPr>
            </w:pPr>
            <w:r w:rsidRPr="007E302D">
              <w:rPr>
                <w:szCs w:val="18"/>
              </w:rPr>
              <w:t>50.5</w:t>
            </w:r>
          </w:p>
        </w:tc>
        <w:tc>
          <w:tcPr>
            <w:tcW w:w="709" w:type="dxa"/>
            <w:noWrap/>
            <w:hideMark/>
          </w:tcPr>
          <w:p w14:paraId="5B5E64CF" w14:textId="77777777" w:rsidR="0042496E" w:rsidRPr="007E302D" w:rsidRDefault="0042496E" w:rsidP="006D3218">
            <w:pPr>
              <w:pStyle w:val="Tabletext"/>
              <w:jc w:val="center"/>
              <w:rPr>
                <w:szCs w:val="18"/>
              </w:rPr>
            </w:pPr>
            <w:r w:rsidRPr="007E302D">
              <w:rPr>
                <w:szCs w:val="18"/>
              </w:rPr>
              <w:t>55.7</w:t>
            </w:r>
          </w:p>
        </w:tc>
        <w:tc>
          <w:tcPr>
            <w:tcW w:w="689" w:type="dxa"/>
            <w:noWrap/>
            <w:hideMark/>
          </w:tcPr>
          <w:p w14:paraId="4F4E44F2" w14:textId="77777777" w:rsidR="0042496E" w:rsidRPr="007E302D" w:rsidRDefault="0042496E" w:rsidP="006D3218">
            <w:pPr>
              <w:pStyle w:val="Tabletext"/>
              <w:jc w:val="center"/>
              <w:rPr>
                <w:szCs w:val="18"/>
              </w:rPr>
            </w:pPr>
            <w:r w:rsidRPr="007E302D">
              <w:rPr>
                <w:szCs w:val="18"/>
              </w:rPr>
              <w:t>70.4</w:t>
            </w:r>
          </w:p>
        </w:tc>
        <w:tc>
          <w:tcPr>
            <w:tcW w:w="709" w:type="dxa"/>
            <w:noWrap/>
            <w:hideMark/>
          </w:tcPr>
          <w:p w14:paraId="08B7D966" w14:textId="77777777" w:rsidR="0042496E" w:rsidRPr="007E302D" w:rsidRDefault="0042496E" w:rsidP="006D3218">
            <w:pPr>
              <w:pStyle w:val="Tabletext"/>
              <w:jc w:val="center"/>
              <w:rPr>
                <w:szCs w:val="18"/>
              </w:rPr>
            </w:pPr>
            <w:r w:rsidRPr="007E302D">
              <w:rPr>
                <w:szCs w:val="18"/>
              </w:rPr>
              <w:t>176.6</w:t>
            </w:r>
          </w:p>
        </w:tc>
      </w:tr>
      <w:tr w:rsidR="0042496E" w:rsidRPr="00B452A7" w14:paraId="02BD1630" w14:textId="77777777" w:rsidTr="00686A50">
        <w:trPr>
          <w:trHeight w:val="280"/>
        </w:trPr>
        <w:tc>
          <w:tcPr>
            <w:tcW w:w="4820" w:type="dxa"/>
            <w:noWrap/>
            <w:hideMark/>
          </w:tcPr>
          <w:p w14:paraId="1810EB42" w14:textId="77777777" w:rsidR="0042496E" w:rsidRPr="007E302D" w:rsidRDefault="0042496E" w:rsidP="006D3218">
            <w:pPr>
              <w:pStyle w:val="Tabletext"/>
              <w:rPr>
                <w:szCs w:val="18"/>
              </w:rPr>
            </w:pPr>
            <w:r w:rsidRPr="007E302D">
              <w:rPr>
                <w:szCs w:val="18"/>
              </w:rPr>
              <w:t>Uganda Support to Municipal Infrastructure Development Program</w:t>
            </w:r>
          </w:p>
        </w:tc>
        <w:tc>
          <w:tcPr>
            <w:tcW w:w="581" w:type="dxa"/>
            <w:noWrap/>
            <w:hideMark/>
          </w:tcPr>
          <w:p w14:paraId="5C1E110D" w14:textId="77777777" w:rsidR="0042496E" w:rsidRPr="007E302D" w:rsidRDefault="0042496E" w:rsidP="006D3218">
            <w:pPr>
              <w:pStyle w:val="Tabletext"/>
              <w:jc w:val="center"/>
              <w:rPr>
                <w:b/>
                <w:bCs/>
                <w:szCs w:val="18"/>
              </w:rPr>
            </w:pPr>
            <w:r w:rsidRPr="007E302D">
              <w:rPr>
                <w:b/>
                <w:bCs/>
                <w:szCs w:val="18"/>
              </w:rPr>
              <w:t>2.2</w:t>
            </w:r>
          </w:p>
        </w:tc>
        <w:tc>
          <w:tcPr>
            <w:tcW w:w="851" w:type="dxa"/>
            <w:noWrap/>
            <w:hideMark/>
          </w:tcPr>
          <w:p w14:paraId="088103E8" w14:textId="77777777" w:rsidR="0042496E" w:rsidRPr="007E302D" w:rsidRDefault="0042496E" w:rsidP="006D3218">
            <w:pPr>
              <w:pStyle w:val="Tabletext"/>
              <w:jc w:val="center"/>
              <w:rPr>
                <w:b/>
                <w:bCs/>
                <w:szCs w:val="18"/>
              </w:rPr>
            </w:pPr>
            <w:r w:rsidRPr="007E302D">
              <w:rPr>
                <w:b/>
                <w:bCs/>
                <w:szCs w:val="18"/>
              </w:rPr>
              <w:t>57.7</w:t>
            </w:r>
          </w:p>
        </w:tc>
        <w:tc>
          <w:tcPr>
            <w:tcW w:w="709" w:type="dxa"/>
            <w:noWrap/>
            <w:hideMark/>
          </w:tcPr>
          <w:p w14:paraId="587F8923" w14:textId="77777777" w:rsidR="0042496E" w:rsidRPr="007E302D" w:rsidRDefault="0042496E" w:rsidP="006D3218">
            <w:pPr>
              <w:pStyle w:val="Tabletext"/>
              <w:jc w:val="center"/>
              <w:rPr>
                <w:b/>
                <w:bCs/>
                <w:szCs w:val="18"/>
              </w:rPr>
            </w:pPr>
            <w:r w:rsidRPr="007E302D">
              <w:rPr>
                <w:b/>
                <w:bCs/>
                <w:szCs w:val="18"/>
              </w:rPr>
              <w:t>82.6</w:t>
            </w:r>
          </w:p>
        </w:tc>
        <w:tc>
          <w:tcPr>
            <w:tcW w:w="689" w:type="dxa"/>
            <w:noWrap/>
            <w:hideMark/>
          </w:tcPr>
          <w:p w14:paraId="2FBCE3D9" w14:textId="77777777" w:rsidR="0042496E" w:rsidRPr="007E302D" w:rsidRDefault="0042496E" w:rsidP="006D3218">
            <w:pPr>
              <w:pStyle w:val="Tabletext"/>
              <w:jc w:val="center"/>
              <w:rPr>
                <w:b/>
                <w:bCs/>
                <w:szCs w:val="18"/>
              </w:rPr>
            </w:pPr>
          </w:p>
        </w:tc>
        <w:tc>
          <w:tcPr>
            <w:tcW w:w="709" w:type="dxa"/>
            <w:noWrap/>
            <w:hideMark/>
          </w:tcPr>
          <w:p w14:paraId="7C7DD764" w14:textId="77777777" w:rsidR="0042496E" w:rsidRPr="007E302D" w:rsidRDefault="0042496E" w:rsidP="006D3218">
            <w:pPr>
              <w:pStyle w:val="Tabletext"/>
              <w:jc w:val="center"/>
              <w:rPr>
                <w:b/>
                <w:bCs/>
                <w:szCs w:val="18"/>
              </w:rPr>
            </w:pPr>
            <w:r w:rsidRPr="007E302D">
              <w:rPr>
                <w:b/>
                <w:bCs/>
                <w:szCs w:val="18"/>
              </w:rPr>
              <w:t>142.5</w:t>
            </w:r>
          </w:p>
        </w:tc>
      </w:tr>
      <w:tr w:rsidR="0042496E" w:rsidRPr="00B452A7" w14:paraId="2092F176" w14:textId="77777777" w:rsidTr="00686A50">
        <w:trPr>
          <w:trHeight w:val="280"/>
        </w:trPr>
        <w:tc>
          <w:tcPr>
            <w:tcW w:w="4820" w:type="dxa"/>
            <w:noWrap/>
            <w:hideMark/>
          </w:tcPr>
          <w:p w14:paraId="2B08D07C" w14:textId="77777777" w:rsidR="0042496E" w:rsidRPr="007E302D" w:rsidRDefault="0042496E" w:rsidP="006D3218">
            <w:pPr>
              <w:pStyle w:val="Tabletext"/>
              <w:rPr>
                <w:szCs w:val="18"/>
              </w:rPr>
            </w:pPr>
            <w:r w:rsidRPr="007E302D">
              <w:rPr>
                <w:szCs w:val="18"/>
              </w:rPr>
              <w:t>Agriculture Cluster Development Project</w:t>
            </w:r>
          </w:p>
        </w:tc>
        <w:tc>
          <w:tcPr>
            <w:tcW w:w="581" w:type="dxa"/>
            <w:noWrap/>
            <w:hideMark/>
          </w:tcPr>
          <w:p w14:paraId="0C32DC80" w14:textId="77777777" w:rsidR="0042496E" w:rsidRPr="007E302D" w:rsidRDefault="0042496E" w:rsidP="006D3218">
            <w:pPr>
              <w:pStyle w:val="Tabletext"/>
              <w:jc w:val="center"/>
              <w:rPr>
                <w:szCs w:val="18"/>
              </w:rPr>
            </w:pPr>
            <w:r w:rsidRPr="007E302D">
              <w:rPr>
                <w:szCs w:val="18"/>
              </w:rPr>
              <w:t>22.5</w:t>
            </w:r>
          </w:p>
        </w:tc>
        <w:tc>
          <w:tcPr>
            <w:tcW w:w="851" w:type="dxa"/>
            <w:noWrap/>
            <w:hideMark/>
          </w:tcPr>
          <w:p w14:paraId="1641CE81" w14:textId="77777777" w:rsidR="0042496E" w:rsidRPr="007E302D" w:rsidRDefault="0042496E" w:rsidP="006D3218">
            <w:pPr>
              <w:pStyle w:val="Tabletext"/>
              <w:jc w:val="center"/>
              <w:rPr>
                <w:szCs w:val="18"/>
              </w:rPr>
            </w:pPr>
            <w:r w:rsidRPr="007E302D">
              <w:rPr>
                <w:szCs w:val="18"/>
              </w:rPr>
              <w:t>4.7</w:t>
            </w:r>
          </w:p>
        </w:tc>
        <w:tc>
          <w:tcPr>
            <w:tcW w:w="709" w:type="dxa"/>
            <w:noWrap/>
            <w:hideMark/>
          </w:tcPr>
          <w:p w14:paraId="759BE095" w14:textId="77777777" w:rsidR="0042496E" w:rsidRPr="007E302D" w:rsidRDefault="0042496E" w:rsidP="006D3218">
            <w:pPr>
              <w:pStyle w:val="Tabletext"/>
              <w:jc w:val="center"/>
              <w:rPr>
                <w:szCs w:val="18"/>
              </w:rPr>
            </w:pPr>
            <w:r w:rsidRPr="007E302D">
              <w:rPr>
                <w:szCs w:val="18"/>
              </w:rPr>
              <w:t>70.4</w:t>
            </w:r>
          </w:p>
        </w:tc>
        <w:tc>
          <w:tcPr>
            <w:tcW w:w="689" w:type="dxa"/>
            <w:noWrap/>
            <w:hideMark/>
          </w:tcPr>
          <w:p w14:paraId="7803BD65" w14:textId="77777777" w:rsidR="0042496E" w:rsidRPr="007E302D" w:rsidRDefault="0042496E" w:rsidP="006D3218">
            <w:pPr>
              <w:pStyle w:val="Tabletext"/>
              <w:jc w:val="center"/>
              <w:rPr>
                <w:szCs w:val="18"/>
              </w:rPr>
            </w:pPr>
          </w:p>
        </w:tc>
        <w:tc>
          <w:tcPr>
            <w:tcW w:w="709" w:type="dxa"/>
            <w:noWrap/>
            <w:hideMark/>
          </w:tcPr>
          <w:p w14:paraId="4285C2E7" w14:textId="77777777" w:rsidR="0042496E" w:rsidRPr="007E302D" w:rsidRDefault="0042496E" w:rsidP="006D3218">
            <w:pPr>
              <w:pStyle w:val="Tabletext"/>
              <w:jc w:val="center"/>
              <w:rPr>
                <w:szCs w:val="18"/>
              </w:rPr>
            </w:pPr>
            <w:r w:rsidRPr="007E302D">
              <w:rPr>
                <w:szCs w:val="18"/>
              </w:rPr>
              <w:t>97.7</w:t>
            </w:r>
          </w:p>
        </w:tc>
      </w:tr>
      <w:tr w:rsidR="0042496E" w:rsidRPr="00B452A7" w14:paraId="255A2CA1" w14:textId="77777777" w:rsidTr="00686A50">
        <w:trPr>
          <w:trHeight w:val="280"/>
        </w:trPr>
        <w:tc>
          <w:tcPr>
            <w:tcW w:w="4820" w:type="dxa"/>
            <w:noWrap/>
            <w:hideMark/>
          </w:tcPr>
          <w:p w14:paraId="4045F1AA" w14:textId="77777777" w:rsidR="0042496E" w:rsidRPr="007E302D" w:rsidRDefault="0042496E" w:rsidP="006D3218">
            <w:pPr>
              <w:pStyle w:val="Tabletext"/>
              <w:rPr>
                <w:szCs w:val="18"/>
              </w:rPr>
            </w:pPr>
            <w:r w:rsidRPr="007E302D">
              <w:rPr>
                <w:szCs w:val="18"/>
              </w:rPr>
              <w:t>Third Northern Uganda Social Action Fund (NUSAF 3)</w:t>
            </w:r>
          </w:p>
        </w:tc>
        <w:tc>
          <w:tcPr>
            <w:tcW w:w="581" w:type="dxa"/>
            <w:noWrap/>
            <w:hideMark/>
          </w:tcPr>
          <w:p w14:paraId="5654F0A1" w14:textId="77777777" w:rsidR="0042496E" w:rsidRPr="007E302D" w:rsidRDefault="0042496E" w:rsidP="006D3218">
            <w:pPr>
              <w:pStyle w:val="Tabletext"/>
              <w:jc w:val="center"/>
              <w:rPr>
                <w:b/>
                <w:bCs/>
                <w:szCs w:val="18"/>
              </w:rPr>
            </w:pPr>
            <w:r w:rsidRPr="007E302D">
              <w:rPr>
                <w:b/>
                <w:bCs/>
                <w:szCs w:val="18"/>
              </w:rPr>
              <w:t>34.8</w:t>
            </w:r>
          </w:p>
        </w:tc>
        <w:tc>
          <w:tcPr>
            <w:tcW w:w="851" w:type="dxa"/>
            <w:noWrap/>
            <w:hideMark/>
          </w:tcPr>
          <w:p w14:paraId="13A04395" w14:textId="77777777" w:rsidR="0042496E" w:rsidRPr="007E302D" w:rsidRDefault="0042496E" w:rsidP="006D3218">
            <w:pPr>
              <w:pStyle w:val="Tabletext"/>
              <w:jc w:val="center"/>
              <w:rPr>
                <w:b/>
                <w:bCs/>
                <w:szCs w:val="18"/>
              </w:rPr>
            </w:pPr>
            <w:r w:rsidRPr="007E302D">
              <w:rPr>
                <w:b/>
                <w:bCs/>
                <w:szCs w:val="18"/>
              </w:rPr>
              <w:t>46.8</w:t>
            </w:r>
          </w:p>
        </w:tc>
        <w:tc>
          <w:tcPr>
            <w:tcW w:w="709" w:type="dxa"/>
            <w:noWrap/>
            <w:hideMark/>
          </w:tcPr>
          <w:p w14:paraId="064D5E9C" w14:textId="77777777" w:rsidR="0042496E" w:rsidRPr="007E302D" w:rsidRDefault="0042496E" w:rsidP="006D3218">
            <w:pPr>
              <w:pStyle w:val="Tabletext"/>
              <w:jc w:val="center"/>
              <w:rPr>
                <w:b/>
                <w:bCs/>
                <w:szCs w:val="18"/>
              </w:rPr>
            </w:pPr>
            <w:r w:rsidRPr="007E302D">
              <w:rPr>
                <w:b/>
                <w:bCs/>
                <w:szCs w:val="18"/>
              </w:rPr>
              <w:t>13.4</w:t>
            </w:r>
          </w:p>
        </w:tc>
        <w:tc>
          <w:tcPr>
            <w:tcW w:w="689" w:type="dxa"/>
            <w:noWrap/>
            <w:hideMark/>
          </w:tcPr>
          <w:p w14:paraId="613331FB" w14:textId="77777777" w:rsidR="0042496E" w:rsidRPr="007E302D" w:rsidRDefault="0042496E" w:rsidP="006D3218">
            <w:pPr>
              <w:pStyle w:val="Tabletext"/>
              <w:jc w:val="center"/>
              <w:rPr>
                <w:b/>
                <w:bCs/>
                <w:szCs w:val="18"/>
              </w:rPr>
            </w:pPr>
            <w:r w:rsidRPr="007E302D">
              <w:rPr>
                <w:b/>
                <w:bCs/>
                <w:szCs w:val="18"/>
              </w:rPr>
              <w:t>0.0</w:t>
            </w:r>
          </w:p>
        </w:tc>
        <w:tc>
          <w:tcPr>
            <w:tcW w:w="709" w:type="dxa"/>
            <w:noWrap/>
            <w:hideMark/>
          </w:tcPr>
          <w:p w14:paraId="04114394" w14:textId="77777777" w:rsidR="0042496E" w:rsidRPr="007E302D" w:rsidRDefault="0042496E" w:rsidP="006D3218">
            <w:pPr>
              <w:pStyle w:val="Tabletext"/>
              <w:jc w:val="center"/>
              <w:rPr>
                <w:b/>
                <w:bCs/>
                <w:szCs w:val="18"/>
              </w:rPr>
            </w:pPr>
            <w:r w:rsidRPr="007E302D">
              <w:rPr>
                <w:b/>
                <w:bCs/>
                <w:szCs w:val="18"/>
              </w:rPr>
              <w:t>94.9</w:t>
            </w:r>
          </w:p>
        </w:tc>
      </w:tr>
      <w:tr w:rsidR="0042496E" w:rsidRPr="00B452A7" w14:paraId="5C343969" w14:textId="77777777" w:rsidTr="00686A50">
        <w:trPr>
          <w:trHeight w:val="280"/>
        </w:trPr>
        <w:tc>
          <w:tcPr>
            <w:tcW w:w="4820" w:type="dxa"/>
            <w:noWrap/>
            <w:hideMark/>
          </w:tcPr>
          <w:p w14:paraId="0F6EE83E" w14:textId="77777777" w:rsidR="0042496E" w:rsidRPr="007E302D" w:rsidRDefault="0042496E" w:rsidP="006D3218">
            <w:pPr>
              <w:pStyle w:val="Tabletext"/>
              <w:rPr>
                <w:szCs w:val="18"/>
              </w:rPr>
            </w:pPr>
            <w:r w:rsidRPr="007E302D">
              <w:rPr>
                <w:szCs w:val="18"/>
              </w:rPr>
              <w:t>Uganda Reproductive, Maternal and Child Health Services Improvement Project</w:t>
            </w:r>
          </w:p>
        </w:tc>
        <w:tc>
          <w:tcPr>
            <w:tcW w:w="581" w:type="dxa"/>
            <w:noWrap/>
            <w:hideMark/>
          </w:tcPr>
          <w:p w14:paraId="2CD05E81" w14:textId="77777777" w:rsidR="0042496E" w:rsidRPr="007E302D" w:rsidRDefault="0042496E" w:rsidP="006D3218">
            <w:pPr>
              <w:pStyle w:val="Tabletext"/>
              <w:jc w:val="center"/>
              <w:rPr>
                <w:szCs w:val="18"/>
              </w:rPr>
            </w:pPr>
            <w:r w:rsidRPr="007E302D">
              <w:rPr>
                <w:szCs w:val="18"/>
              </w:rPr>
              <w:t>6.0</w:t>
            </w:r>
          </w:p>
        </w:tc>
        <w:tc>
          <w:tcPr>
            <w:tcW w:w="851" w:type="dxa"/>
            <w:noWrap/>
            <w:hideMark/>
          </w:tcPr>
          <w:p w14:paraId="50C63562" w14:textId="77777777" w:rsidR="0042496E" w:rsidRPr="007E302D" w:rsidRDefault="0042496E" w:rsidP="006D3218">
            <w:pPr>
              <w:pStyle w:val="Tabletext"/>
              <w:jc w:val="center"/>
              <w:rPr>
                <w:szCs w:val="18"/>
              </w:rPr>
            </w:pPr>
            <w:r w:rsidRPr="007E302D">
              <w:rPr>
                <w:szCs w:val="18"/>
              </w:rPr>
              <w:t>17.2</w:t>
            </w:r>
          </w:p>
        </w:tc>
        <w:tc>
          <w:tcPr>
            <w:tcW w:w="709" w:type="dxa"/>
            <w:noWrap/>
            <w:hideMark/>
          </w:tcPr>
          <w:p w14:paraId="5EFAC51E" w14:textId="77777777" w:rsidR="0042496E" w:rsidRPr="007E302D" w:rsidRDefault="0042496E" w:rsidP="006D3218">
            <w:pPr>
              <w:pStyle w:val="Tabletext"/>
              <w:jc w:val="center"/>
              <w:rPr>
                <w:szCs w:val="18"/>
              </w:rPr>
            </w:pPr>
            <w:r w:rsidRPr="007E302D">
              <w:rPr>
                <w:szCs w:val="18"/>
              </w:rPr>
              <w:t>37.2</w:t>
            </w:r>
          </w:p>
        </w:tc>
        <w:tc>
          <w:tcPr>
            <w:tcW w:w="689" w:type="dxa"/>
            <w:noWrap/>
            <w:hideMark/>
          </w:tcPr>
          <w:p w14:paraId="55690BE7" w14:textId="77777777" w:rsidR="0042496E" w:rsidRPr="007E302D" w:rsidRDefault="0042496E" w:rsidP="006D3218">
            <w:pPr>
              <w:pStyle w:val="Tabletext"/>
              <w:jc w:val="center"/>
              <w:rPr>
                <w:szCs w:val="18"/>
              </w:rPr>
            </w:pPr>
            <w:r w:rsidRPr="007E302D">
              <w:rPr>
                <w:szCs w:val="18"/>
              </w:rPr>
              <w:t>28.5</w:t>
            </w:r>
          </w:p>
        </w:tc>
        <w:tc>
          <w:tcPr>
            <w:tcW w:w="709" w:type="dxa"/>
            <w:noWrap/>
            <w:hideMark/>
          </w:tcPr>
          <w:p w14:paraId="39FA8E5C" w14:textId="77777777" w:rsidR="0042496E" w:rsidRPr="007E302D" w:rsidRDefault="0042496E" w:rsidP="006D3218">
            <w:pPr>
              <w:pStyle w:val="Tabletext"/>
              <w:jc w:val="center"/>
              <w:rPr>
                <w:szCs w:val="18"/>
              </w:rPr>
            </w:pPr>
            <w:r w:rsidRPr="007E302D">
              <w:rPr>
                <w:szCs w:val="18"/>
              </w:rPr>
              <w:t>88.9</w:t>
            </w:r>
          </w:p>
        </w:tc>
      </w:tr>
      <w:tr w:rsidR="0042496E" w:rsidRPr="00B452A7" w14:paraId="7A83E6BF" w14:textId="77777777" w:rsidTr="00686A50">
        <w:trPr>
          <w:trHeight w:val="280"/>
        </w:trPr>
        <w:tc>
          <w:tcPr>
            <w:tcW w:w="4820" w:type="dxa"/>
            <w:noWrap/>
            <w:hideMark/>
          </w:tcPr>
          <w:p w14:paraId="5A8B50C0" w14:textId="77777777" w:rsidR="0042496E" w:rsidRPr="007E302D" w:rsidRDefault="0042496E" w:rsidP="006D3218">
            <w:pPr>
              <w:pStyle w:val="Tabletext"/>
              <w:rPr>
                <w:szCs w:val="18"/>
              </w:rPr>
            </w:pPr>
            <w:r w:rsidRPr="007E302D">
              <w:rPr>
                <w:szCs w:val="18"/>
              </w:rPr>
              <w:t>Energy for Rural Transformation III</w:t>
            </w:r>
          </w:p>
        </w:tc>
        <w:tc>
          <w:tcPr>
            <w:tcW w:w="581" w:type="dxa"/>
            <w:noWrap/>
            <w:hideMark/>
          </w:tcPr>
          <w:p w14:paraId="2DA5CD43" w14:textId="77777777" w:rsidR="0042496E" w:rsidRPr="007E302D" w:rsidRDefault="0042496E" w:rsidP="006D3218">
            <w:pPr>
              <w:pStyle w:val="Tabletext"/>
              <w:jc w:val="center"/>
              <w:rPr>
                <w:b/>
                <w:bCs/>
                <w:szCs w:val="18"/>
              </w:rPr>
            </w:pPr>
            <w:r w:rsidRPr="007E302D">
              <w:rPr>
                <w:b/>
                <w:bCs/>
                <w:szCs w:val="18"/>
              </w:rPr>
              <w:t>6.4</w:t>
            </w:r>
          </w:p>
        </w:tc>
        <w:tc>
          <w:tcPr>
            <w:tcW w:w="851" w:type="dxa"/>
            <w:noWrap/>
            <w:hideMark/>
          </w:tcPr>
          <w:p w14:paraId="4CC05250" w14:textId="77777777" w:rsidR="0042496E" w:rsidRPr="007E302D" w:rsidRDefault="0042496E" w:rsidP="006D3218">
            <w:pPr>
              <w:pStyle w:val="Tabletext"/>
              <w:jc w:val="center"/>
              <w:rPr>
                <w:b/>
                <w:bCs/>
                <w:szCs w:val="18"/>
              </w:rPr>
            </w:pPr>
            <w:r w:rsidRPr="007E302D">
              <w:rPr>
                <w:b/>
                <w:bCs/>
                <w:szCs w:val="18"/>
              </w:rPr>
              <w:t>36.7</w:t>
            </w:r>
          </w:p>
        </w:tc>
        <w:tc>
          <w:tcPr>
            <w:tcW w:w="709" w:type="dxa"/>
            <w:noWrap/>
            <w:hideMark/>
          </w:tcPr>
          <w:p w14:paraId="0922B224" w14:textId="77777777" w:rsidR="0042496E" w:rsidRPr="007E302D" w:rsidRDefault="0042496E" w:rsidP="006D3218">
            <w:pPr>
              <w:pStyle w:val="Tabletext"/>
              <w:jc w:val="center"/>
              <w:rPr>
                <w:b/>
                <w:bCs/>
                <w:szCs w:val="18"/>
              </w:rPr>
            </w:pPr>
            <w:r w:rsidRPr="007E302D">
              <w:rPr>
                <w:b/>
                <w:bCs/>
                <w:szCs w:val="18"/>
              </w:rPr>
              <w:t>36.4</w:t>
            </w:r>
          </w:p>
        </w:tc>
        <w:tc>
          <w:tcPr>
            <w:tcW w:w="689" w:type="dxa"/>
            <w:noWrap/>
            <w:hideMark/>
          </w:tcPr>
          <w:p w14:paraId="1318B1D9" w14:textId="77777777" w:rsidR="0042496E" w:rsidRPr="007E302D" w:rsidRDefault="0042496E" w:rsidP="006D3218">
            <w:pPr>
              <w:pStyle w:val="Tabletext"/>
              <w:jc w:val="center"/>
              <w:rPr>
                <w:b/>
                <w:bCs/>
                <w:szCs w:val="18"/>
              </w:rPr>
            </w:pPr>
            <w:r w:rsidRPr="007E302D">
              <w:rPr>
                <w:b/>
                <w:bCs/>
                <w:szCs w:val="18"/>
              </w:rPr>
              <w:t>2.1</w:t>
            </w:r>
          </w:p>
        </w:tc>
        <w:tc>
          <w:tcPr>
            <w:tcW w:w="709" w:type="dxa"/>
            <w:noWrap/>
            <w:hideMark/>
          </w:tcPr>
          <w:p w14:paraId="356B9019" w14:textId="77777777" w:rsidR="0042496E" w:rsidRPr="007E302D" w:rsidRDefault="0042496E" w:rsidP="006D3218">
            <w:pPr>
              <w:pStyle w:val="Tabletext"/>
              <w:jc w:val="center"/>
              <w:rPr>
                <w:b/>
                <w:bCs/>
                <w:szCs w:val="18"/>
              </w:rPr>
            </w:pPr>
            <w:r w:rsidRPr="007E302D">
              <w:rPr>
                <w:b/>
                <w:bCs/>
                <w:szCs w:val="18"/>
              </w:rPr>
              <w:t>81.5</w:t>
            </w:r>
          </w:p>
        </w:tc>
      </w:tr>
      <w:tr w:rsidR="0042496E" w:rsidRPr="00B452A7" w14:paraId="138932CC" w14:textId="77777777" w:rsidTr="00686A50">
        <w:trPr>
          <w:trHeight w:val="280"/>
        </w:trPr>
        <w:tc>
          <w:tcPr>
            <w:tcW w:w="4820" w:type="dxa"/>
            <w:noWrap/>
            <w:hideMark/>
          </w:tcPr>
          <w:p w14:paraId="31381B28" w14:textId="77777777" w:rsidR="0042496E" w:rsidRPr="007E302D" w:rsidRDefault="0042496E" w:rsidP="006D3218">
            <w:pPr>
              <w:pStyle w:val="Tabletext"/>
              <w:rPr>
                <w:szCs w:val="18"/>
              </w:rPr>
            </w:pPr>
            <w:r w:rsidRPr="007E302D">
              <w:rPr>
                <w:szCs w:val="18"/>
              </w:rPr>
              <w:t>Uganda: Albertine Region Sustainable Development Project</w:t>
            </w:r>
          </w:p>
        </w:tc>
        <w:tc>
          <w:tcPr>
            <w:tcW w:w="581" w:type="dxa"/>
            <w:noWrap/>
            <w:hideMark/>
          </w:tcPr>
          <w:p w14:paraId="5076AB6A" w14:textId="77777777" w:rsidR="0042496E" w:rsidRPr="007E302D" w:rsidRDefault="0042496E" w:rsidP="006D3218">
            <w:pPr>
              <w:pStyle w:val="Tabletext"/>
              <w:jc w:val="center"/>
              <w:rPr>
                <w:szCs w:val="18"/>
              </w:rPr>
            </w:pPr>
            <w:r w:rsidRPr="007E302D">
              <w:rPr>
                <w:szCs w:val="18"/>
              </w:rPr>
              <w:t>21.2</w:t>
            </w:r>
          </w:p>
        </w:tc>
        <w:tc>
          <w:tcPr>
            <w:tcW w:w="851" w:type="dxa"/>
            <w:noWrap/>
            <w:hideMark/>
          </w:tcPr>
          <w:p w14:paraId="739AF232" w14:textId="77777777" w:rsidR="0042496E" w:rsidRPr="007E302D" w:rsidRDefault="0042496E" w:rsidP="006D3218">
            <w:pPr>
              <w:pStyle w:val="Tabletext"/>
              <w:jc w:val="center"/>
              <w:rPr>
                <w:szCs w:val="18"/>
              </w:rPr>
            </w:pPr>
            <w:r w:rsidRPr="007E302D">
              <w:rPr>
                <w:szCs w:val="18"/>
              </w:rPr>
              <w:t>25.4</w:t>
            </w:r>
          </w:p>
        </w:tc>
        <w:tc>
          <w:tcPr>
            <w:tcW w:w="709" w:type="dxa"/>
            <w:noWrap/>
            <w:hideMark/>
          </w:tcPr>
          <w:p w14:paraId="1A4A6F90" w14:textId="77777777" w:rsidR="0042496E" w:rsidRPr="007E302D" w:rsidRDefault="0042496E" w:rsidP="006D3218">
            <w:pPr>
              <w:pStyle w:val="Tabletext"/>
              <w:jc w:val="center"/>
              <w:rPr>
                <w:szCs w:val="18"/>
              </w:rPr>
            </w:pPr>
            <w:r w:rsidRPr="007E302D">
              <w:rPr>
                <w:szCs w:val="18"/>
              </w:rPr>
              <w:t>21.9</w:t>
            </w:r>
          </w:p>
        </w:tc>
        <w:tc>
          <w:tcPr>
            <w:tcW w:w="689" w:type="dxa"/>
            <w:noWrap/>
            <w:hideMark/>
          </w:tcPr>
          <w:p w14:paraId="34A6A37B" w14:textId="77777777" w:rsidR="0042496E" w:rsidRPr="007E302D" w:rsidRDefault="0042496E" w:rsidP="006D3218">
            <w:pPr>
              <w:pStyle w:val="Tabletext"/>
              <w:jc w:val="center"/>
              <w:rPr>
                <w:szCs w:val="18"/>
              </w:rPr>
            </w:pPr>
            <w:r w:rsidRPr="007E302D">
              <w:rPr>
                <w:szCs w:val="18"/>
              </w:rPr>
              <w:t>11.8</w:t>
            </w:r>
          </w:p>
        </w:tc>
        <w:tc>
          <w:tcPr>
            <w:tcW w:w="709" w:type="dxa"/>
            <w:noWrap/>
            <w:hideMark/>
          </w:tcPr>
          <w:p w14:paraId="77DA7A0D" w14:textId="77777777" w:rsidR="0042496E" w:rsidRPr="007E302D" w:rsidRDefault="0042496E" w:rsidP="006D3218">
            <w:pPr>
              <w:pStyle w:val="Tabletext"/>
              <w:jc w:val="center"/>
              <w:rPr>
                <w:szCs w:val="18"/>
              </w:rPr>
            </w:pPr>
            <w:r w:rsidRPr="007E302D">
              <w:rPr>
                <w:szCs w:val="18"/>
              </w:rPr>
              <w:t>80.3</w:t>
            </w:r>
          </w:p>
        </w:tc>
      </w:tr>
      <w:tr w:rsidR="0042496E" w:rsidRPr="00B452A7" w14:paraId="423B409C" w14:textId="77777777" w:rsidTr="00686A50">
        <w:trPr>
          <w:trHeight w:val="280"/>
        </w:trPr>
        <w:tc>
          <w:tcPr>
            <w:tcW w:w="4820" w:type="dxa"/>
            <w:noWrap/>
            <w:hideMark/>
          </w:tcPr>
          <w:p w14:paraId="116E6925" w14:textId="77777777" w:rsidR="0042496E" w:rsidRPr="007E302D" w:rsidRDefault="0042496E" w:rsidP="006D3218">
            <w:pPr>
              <w:pStyle w:val="Tabletext"/>
              <w:rPr>
                <w:szCs w:val="18"/>
              </w:rPr>
            </w:pPr>
            <w:r w:rsidRPr="007E302D">
              <w:rPr>
                <w:szCs w:val="18"/>
              </w:rPr>
              <w:t>Skills Development Project</w:t>
            </w:r>
          </w:p>
        </w:tc>
        <w:tc>
          <w:tcPr>
            <w:tcW w:w="581" w:type="dxa"/>
            <w:noWrap/>
            <w:hideMark/>
          </w:tcPr>
          <w:p w14:paraId="53C46A49" w14:textId="77777777" w:rsidR="0042496E" w:rsidRPr="007E302D" w:rsidRDefault="0042496E" w:rsidP="006D3218">
            <w:pPr>
              <w:pStyle w:val="Tabletext"/>
              <w:jc w:val="center"/>
              <w:rPr>
                <w:b/>
                <w:bCs/>
                <w:szCs w:val="18"/>
              </w:rPr>
            </w:pPr>
            <w:r w:rsidRPr="007E302D">
              <w:rPr>
                <w:b/>
                <w:bCs/>
                <w:szCs w:val="18"/>
              </w:rPr>
              <w:t>6.6</w:t>
            </w:r>
          </w:p>
        </w:tc>
        <w:tc>
          <w:tcPr>
            <w:tcW w:w="851" w:type="dxa"/>
            <w:noWrap/>
            <w:hideMark/>
          </w:tcPr>
          <w:p w14:paraId="312E550D" w14:textId="77777777" w:rsidR="0042496E" w:rsidRPr="007E302D" w:rsidRDefault="0042496E" w:rsidP="006D3218">
            <w:pPr>
              <w:pStyle w:val="Tabletext"/>
              <w:jc w:val="center"/>
              <w:rPr>
                <w:b/>
                <w:bCs/>
                <w:szCs w:val="18"/>
              </w:rPr>
            </w:pPr>
            <w:r w:rsidRPr="007E302D">
              <w:rPr>
                <w:b/>
                <w:bCs/>
                <w:szCs w:val="18"/>
              </w:rPr>
              <w:t>13.3</w:t>
            </w:r>
          </w:p>
        </w:tc>
        <w:tc>
          <w:tcPr>
            <w:tcW w:w="709" w:type="dxa"/>
            <w:noWrap/>
            <w:hideMark/>
          </w:tcPr>
          <w:p w14:paraId="5981A817" w14:textId="77777777" w:rsidR="0042496E" w:rsidRPr="007E302D" w:rsidRDefault="0042496E" w:rsidP="006D3218">
            <w:pPr>
              <w:pStyle w:val="Tabletext"/>
              <w:jc w:val="center"/>
              <w:rPr>
                <w:b/>
                <w:bCs/>
                <w:szCs w:val="18"/>
              </w:rPr>
            </w:pPr>
            <w:r w:rsidRPr="007E302D">
              <w:rPr>
                <w:b/>
                <w:bCs/>
                <w:szCs w:val="18"/>
              </w:rPr>
              <w:t>35.9</w:t>
            </w:r>
          </w:p>
        </w:tc>
        <w:tc>
          <w:tcPr>
            <w:tcW w:w="689" w:type="dxa"/>
            <w:noWrap/>
            <w:hideMark/>
          </w:tcPr>
          <w:p w14:paraId="5E1A686C" w14:textId="77777777" w:rsidR="0042496E" w:rsidRPr="007E302D" w:rsidRDefault="0042496E" w:rsidP="006D3218">
            <w:pPr>
              <w:pStyle w:val="Tabletext"/>
              <w:jc w:val="center"/>
              <w:rPr>
                <w:b/>
                <w:bCs/>
                <w:szCs w:val="18"/>
              </w:rPr>
            </w:pPr>
            <w:r w:rsidRPr="007E302D">
              <w:rPr>
                <w:b/>
                <w:bCs/>
                <w:szCs w:val="18"/>
              </w:rPr>
              <w:t>4.5</w:t>
            </w:r>
          </w:p>
        </w:tc>
        <w:tc>
          <w:tcPr>
            <w:tcW w:w="709" w:type="dxa"/>
            <w:noWrap/>
            <w:hideMark/>
          </w:tcPr>
          <w:p w14:paraId="3624F0EB" w14:textId="77777777" w:rsidR="0042496E" w:rsidRPr="007E302D" w:rsidRDefault="0042496E" w:rsidP="006D3218">
            <w:pPr>
              <w:pStyle w:val="Tabletext"/>
              <w:jc w:val="center"/>
              <w:rPr>
                <w:b/>
                <w:bCs/>
                <w:szCs w:val="18"/>
              </w:rPr>
            </w:pPr>
            <w:r w:rsidRPr="007E302D">
              <w:rPr>
                <w:b/>
                <w:bCs/>
                <w:szCs w:val="18"/>
              </w:rPr>
              <w:t>60.4</w:t>
            </w:r>
          </w:p>
        </w:tc>
      </w:tr>
      <w:tr w:rsidR="0042496E" w:rsidRPr="00B452A7" w14:paraId="010FA0D3" w14:textId="77777777" w:rsidTr="00686A50">
        <w:trPr>
          <w:trHeight w:val="280"/>
        </w:trPr>
        <w:tc>
          <w:tcPr>
            <w:tcW w:w="4820" w:type="dxa"/>
            <w:noWrap/>
            <w:hideMark/>
          </w:tcPr>
          <w:p w14:paraId="762A8752" w14:textId="77777777" w:rsidR="0042496E" w:rsidRPr="007E302D" w:rsidRDefault="0042496E" w:rsidP="006D3218">
            <w:pPr>
              <w:pStyle w:val="Tabletext"/>
              <w:rPr>
                <w:szCs w:val="18"/>
              </w:rPr>
            </w:pPr>
            <w:r w:rsidRPr="007E302D">
              <w:rPr>
                <w:szCs w:val="18"/>
              </w:rPr>
              <w:t>Second Kampala Institutional and Infrastructure Development Project</w:t>
            </w:r>
          </w:p>
        </w:tc>
        <w:tc>
          <w:tcPr>
            <w:tcW w:w="581" w:type="dxa"/>
            <w:noWrap/>
            <w:hideMark/>
          </w:tcPr>
          <w:p w14:paraId="58964F25" w14:textId="77777777" w:rsidR="0042496E" w:rsidRPr="007E302D" w:rsidRDefault="0042496E" w:rsidP="006D3218">
            <w:pPr>
              <w:pStyle w:val="Tabletext"/>
              <w:jc w:val="center"/>
              <w:rPr>
                <w:szCs w:val="18"/>
              </w:rPr>
            </w:pPr>
          </w:p>
        </w:tc>
        <w:tc>
          <w:tcPr>
            <w:tcW w:w="851" w:type="dxa"/>
            <w:noWrap/>
            <w:hideMark/>
          </w:tcPr>
          <w:p w14:paraId="1967301C" w14:textId="77777777" w:rsidR="0042496E" w:rsidRPr="007E302D" w:rsidRDefault="0042496E" w:rsidP="006D3218">
            <w:pPr>
              <w:pStyle w:val="Tabletext"/>
              <w:jc w:val="center"/>
              <w:rPr>
                <w:szCs w:val="18"/>
              </w:rPr>
            </w:pPr>
            <w:r w:rsidRPr="007E302D">
              <w:rPr>
                <w:szCs w:val="18"/>
              </w:rPr>
              <w:t>24.4</w:t>
            </w:r>
          </w:p>
        </w:tc>
        <w:tc>
          <w:tcPr>
            <w:tcW w:w="709" w:type="dxa"/>
            <w:noWrap/>
            <w:hideMark/>
          </w:tcPr>
          <w:p w14:paraId="26AD6AB4" w14:textId="77777777" w:rsidR="0042496E" w:rsidRPr="007E302D" w:rsidRDefault="0042496E" w:rsidP="006D3218">
            <w:pPr>
              <w:pStyle w:val="Tabletext"/>
              <w:jc w:val="center"/>
              <w:rPr>
                <w:szCs w:val="18"/>
              </w:rPr>
            </w:pPr>
            <w:r w:rsidRPr="007E302D">
              <w:rPr>
                <w:szCs w:val="18"/>
              </w:rPr>
              <w:t>33.7</w:t>
            </w:r>
          </w:p>
        </w:tc>
        <w:tc>
          <w:tcPr>
            <w:tcW w:w="689" w:type="dxa"/>
            <w:noWrap/>
            <w:hideMark/>
          </w:tcPr>
          <w:p w14:paraId="65E34EA2" w14:textId="77777777" w:rsidR="0042496E" w:rsidRPr="007E302D" w:rsidRDefault="0042496E" w:rsidP="006D3218">
            <w:pPr>
              <w:pStyle w:val="Tabletext"/>
              <w:jc w:val="center"/>
              <w:rPr>
                <w:szCs w:val="18"/>
              </w:rPr>
            </w:pPr>
          </w:p>
        </w:tc>
        <w:tc>
          <w:tcPr>
            <w:tcW w:w="709" w:type="dxa"/>
            <w:noWrap/>
            <w:hideMark/>
          </w:tcPr>
          <w:p w14:paraId="5C4C957C" w14:textId="77777777" w:rsidR="0042496E" w:rsidRPr="007E302D" w:rsidRDefault="0042496E" w:rsidP="006D3218">
            <w:pPr>
              <w:pStyle w:val="Tabletext"/>
              <w:jc w:val="center"/>
              <w:rPr>
                <w:szCs w:val="18"/>
              </w:rPr>
            </w:pPr>
            <w:r w:rsidRPr="007E302D">
              <w:rPr>
                <w:szCs w:val="18"/>
              </w:rPr>
              <w:t>58.0</w:t>
            </w:r>
          </w:p>
        </w:tc>
      </w:tr>
      <w:tr w:rsidR="0042496E" w:rsidRPr="00B452A7" w14:paraId="4415681B" w14:textId="77777777" w:rsidTr="00686A50">
        <w:trPr>
          <w:trHeight w:val="280"/>
        </w:trPr>
        <w:tc>
          <w:tcPr>
            <w:tcW w:w="4820" w:type="dxa"/>
            <w:noWrap/>
            <w:hideMark/>
          </w:tcPr>
          <w:p w14:paraId="4F996BE9" w14:textId="77777777" w:rsidR="0042496E" w:rsidRPr="007E302D" w:rsidRDefault="0042496E" w:rsidP="006D3218">
            <w:pPr>
              <w:pStyle w:val="Tabletext"/>
              <w:rPr>
                <w:szCs w:val="18"/>
              </w:rPr>
            </w:pPr>
            <w:r w:rsidRPr="007E302D">
              <w:rPr>
                <w:szCs w:val="18"/>
              </w:rPr>
              <w:t>Competitiveness and Enterprise Development Project (CEDP)</w:t>
            </w:r>
          </w:p>
        </w:tc>
        <w:tc>
          <w:tcPr>
            <w:tcW w:w="581" w:type="dxa"/>
            <w:noWrap/>
            <w:hideMark/>
          </w:tcPr>
          <w:p w14:paraId="4BCD9865" w14:textId="77777777" w:rsidR="0042496E" w:rsidRPr="007E302D" w:rsidRDefault="0042496E" w:rsidP="006D3218">
            <w:pPr>
              <w:pStyle w:val="Tabletext"/>
              <w:jc w:val="center"/>
              <w:rPr>
                <w:b/>
                <w:bCs/>
                <w:szCs w:val="18"/>
              </w:rPr>
            </w:pPr>
            <w:r w:rsidRPr="007E302D">
              <w:rPr>
                <w:b/>
                <w:bCs/>
                <w:szCs w:val="18"/>
              </w:rPr>
              <w:t>22.8</w:t>
            </w:r>
          </w:p>
        </w:tc>
        <w:tc>
          <w:tcPr>
            <w:tcW w:w="851" w:type="dxa"/>
            <w:noWrap/>
            <w:hideMark/>
          </w:tcPr>
          <w:p w14:paraId="295C3C53" w14:textId="77777777" w:rsidR="0042496E" w:rsidRPr="007E302D" w:rsidRDefault="0042496E" w:rsidP="006D3218">
            <w:pPr>
              <w:pStyle w:val="Tabletext"/>
              <w:jc w:val="center"/>
              <w:rPr>
                <w:b/>
                <w:bCs/>
                <w:szCs w:val="18"/>
              </w:rPr>
            </w:pPr>
            <w:r w:rsidRPr="007E302D">
              <w:rPr>
                <w:b/>
                <w:bCs/>
                <w:szCs w:val="18"/>
              </w:rPr>
              <w:t>9.1</w:t>
            </w:r>
          </w:p>
        </w:tc>
        <w:tc>
          <w:tcPr>
            <w:tcW w:w="709" w:type="dxa"/>
            <w:noWrap/>
            <w:hideMark/>
          </w:tcPr>
          <w:p w14:paraId="528309A1" w14:textId="77777777" w:rsidR="0042496E" w:rsidRPr="007E302D" w:rsidRDefault="0042496E" w:rsidP="006D3218">
            <w:pPr>
              <w:pStyle w:val="Tabletext"/>
              <w:jc w:val="center"/>
              <w:rPr>
                <w:b/>
                <w:bCs/>
                <w:szCs w:val="18"/>
              </w:rPr>
            </w:pPr>
            <w:r w:rsidRPr="007E302D">
              <w:rPr>
                <w:b/>
                <w:bCs/>
                <w:szCs w:val="18"/>
              </w:rPr>
              <w:t>7.4</w:t>
            </w:r>
          </w:p>
        </w:tc>
        <w:tc>
          <w:tcPr>
            <w:tcW w:w="689" w:type="dxa"/>
            <w:noWrap/>
            <w:hideMark/>
          </w:tcPr>
          <w:p w14:paraId="0815384A" w14:textId="77777777" w:rsidR="0042496E" w:rsidRPr="007E302D" w:rsidRDefault="0042496E" w:rsidP="006D3218">
            <w:pPr>
              <w:pStyle w:val="Tabletext"/>
              <w:jc w:val="center"/>
              <w:rPr>
                <w:b/>
                <w:bCs/>
                <w:szCs w:val="18"/>
              </w:rPr>
            </w:pPr>
          </w:p>
        </w:tc>
        <w:tc>
          <w:tcPr>
            <w:tcW w:w="709" w:type="dxa"/>
            <w:noWrap/>
            <w:hideMark/>
          </w:tcPr>
          <w:p w14:paraId="311D1758" w14:textId="77777777" w:rsidR="0042496E" w:rsidRPr="007E302D" w:rsidRDefault="0042496E" w:rsidP="006D3218">
            <w:pPr>
              <w:pStyle w:val="Tabletext"/>
              <w:jc w:val="center"/>
              <w:rPr>
                <w:b/>
                <w:bCs/>
                <w:szCs w:val="18"/>
              </w:rPr>
            </w:pPr>
            <w:r w:rsidRPr="007E302D">
              <w:rPr>
                <w:b/>
                <w:bCs/>
                <w:szCs w:val="18"/>
              </w:rPr>
              <w:t>39.3</w:t>
            </w:r>
          </w:p>
        </w:tc>
      </w:tr>
      <w:tr w:rsidR="0042496E" w:rsidRPr="00B452A7" w14:paraId="7EFF0C00" w14:textId="77777777" w:rsidTr="00686A50">
        <w:trPr>
          <w:trHeight w:val="280"/>
        </w:trPr>
        <w:tc>
          <w:tcPr>
            <w:tcW w:w="4820" w:type="dxa"/>
            <w:noWrap/>
            <w:hideMark/>
          </w:tcPr>
          <w:p w14:paraId="0447A52F" w14:textId="77777777" w:rsidR="0042496E" w:rsidRPr="007E302D" w:rsidRDefault="0042496E" w:rsidP="006D3218">
            <w:pPr>
              <w:pStyle w:val="Tabletext"/>
              <w:rPr>
                <w:szCs w:val="18"/>
              </w:rPr>
            </w:pPr>
            <w:r w:rsidRPr="007E302D">
              <w:rPr>
                <w:szCs w:val="18"/>
              </w:rPr>
              <w:t>Water Management and Development Project</w:t>
            </w:r>
          </w:p>
        </w:tc>
        <w:tc>
          <w:tcPr>
            <w:tcW w:w="581" w:type="dxa"/>
            <w:noWrap/>
            <w:hideMark/>
          </w:tcPr>
          <w:p w14:paraId="4B98B997" w14:textId="77777777" w:rsidR="0042496E" w:rsidRPr="007E302D" w:rsidRDefault="0042496E" w:rsidP="006D3218">
            <w:pPr>
              <w:pStyle w:val="Tabletext"/>
              <w:jc w:val="center"/>
              <w:rPr>
                <w:szCs w:val="18"/>
              </w:rPr>
            </w:pPr>
            <w:r w:rsidRPr="007E302D">
              <w:rPr>
                <w:szCs w:val="18"/>
              </w:rPr>
              <w:t>38.9</w:t>
            </w:r>
          </w:p>
        </w:tc>
        <w:tc>
          <w:tcPr>
            <w:tcW w:w="851" w:type="dxa"/>
            <w:noWrap/>
            <w:hideMark/>
          </w:tcPr>
          <w:p w14:paraId="3D14B491" w14:textId="77777777" w:rsidR="0042496E" w:rsidRPr="007E302D" w:rsidRDefault="0042496E" w:rsidP="006D3218">
            <w:pPr>
              <w:pStyle w:val="Tabletext"/>
              <w:jc w:val="center"/>
              <w:rPr>
                <w:szCs w:val="18"/>
              </w:rPr>
            </w:pPr>
          </w:p>
        </w:tc>
        <w:tc>
          <w:tcPr>
            <w:tcW w:w="709" w:type="dxa"/>
            <w:noWrap/>
            <w:hideMark/>
          </w:tcPr>
          <w:p w14:paraId="5E5FE8EE" w14:textId="77777777" w:rsidR="0042496E" w:rsidRPr="007E302D" w:rsidRDefault="0042496E" w:rsidP="006D3218">
            <w:pPr>
              <w:pStyle w:val="Tabletext"/>
              <w:jc w:val="center"/>
              <w:rPr>
                <w:szCs w:val="18"/>
              </w:rPr>
            </w:pPr>
          </w:p>
        </w:tc>
        <w:tc>
          <w:tcPr>
            <w:tcW w:w="689" w:type="dxa"/>
            <w:noWrap/>
            <w:hideMark/>
          </w:tcPr>
          <w:p w14:paraId="2077CC87" w14:textId="77777777" w:rsidR="0042496E" w:rsidRPr="007E302D" w:rsidRDefault="0042496E" w:rsidP="006D3218">
            <w:pPr>
              <w:pStyle w:val="Tabletext"/>
              <w:jc w:val="center"/>
              <w:rPr>
                <w:szCs w:val="18"/>
              </w:rPr>
            </w:pPr>
          </w:p>
        </w:tc>
        <w:tc>
          <w:tcPr>
            <w:tcW w:w="709" w:type="dxa"/>
            <w:noWrap/>
            <w:hideMark/>
          </w:tcPr>
          <w:p w14:paraId="2EEE1742" w14:textId="77777777" w:rsidR="0042496E" w:rsidRPr="007E302D" w:rsidRDefault="0042496E" w:rsidP="006D3218">
            <w:pPr>
              <w:pStyle w:val="Tabletext"/>
              <w:jc w:val="center"/>
              <w:rPr>
                <w:szCs w:val="18"/>
              </w:rPr>
            </w:pPr>
            <w:r w:rsidRPr="007E302D">
              <w:rPr>
                <w:szCs w:val="18"/>
              </w:rPr>
              <w:t>38.2</w:t>
            </w:r>
          </w:p>
        </w:tc>
      </w:tr>
      <w:tr w:rsidR="0042496E" w:rsidRPr="00B452A7" w14:paraId="03F3769C" w14:textId="77777777" w:rsidTr="00686A50">
        <w:trPr>
          <w:trHeight w:val="280"/>
        </w:trPr>
        <w:tc>
          <w:tcPr>
            <w:tcW w:w="4820" w:type="dxa"/>
            <w:noWrap/>
            <w:hideMark/>
          </w:tcPr>
          <w:p w14:paraId="197C51B7" w14:textId="6AC90D85" w:rsidR="0042496E" w:rsidRPr="007E302D" w:rsidRDefault="0042496E" w:rsidP="006D3218">
            <w:pPr>
              <w:pStyle w:val="Tabletext"/>
              <w:rPr>
                <w:szCs w:val="18"/>
              </w:rPr>
            </w:pPr>
            <w:r w:rsidRPr="007E302D">
              <w:rPr>
                <w:szCs w:val="18"/>
              </w:rPr>
              <w:t>Uganda Grid Expansion and Reinforcement Project</w:t>
            </w:r>
          </w:p>
        </w:tc>
        <w:tc>
          <w:tcPr>
            <w:tcW w:w="581" w:type="dxa"/>
            <w:noWrap/>
            <w:hideMark/>
          </w:tcPr>
          <w:p w14:paraId="51579ABE" w14:textId="77777777" w:rsidR="0042496E" w:rsidRPr="007E302D" w:rsidRDefault="0042496E" w:rsidP="006D3218">
            <w:pPr>
              <w:pStyle w:val="Tabletext"/>
              <w:jc w:val="center"/>
              <w:rPr>
                <w:b/>
                <w:bCs/>
                <w:szCs w:val="18"/>
              </w:rPr>
            </w:pPr>
            <w:r w:rsidRPr="007E302D">
              <w:rPr>
                <w:b/>
                <w:bCs/>
                <w:szCs w:val="18"/>
              </w:rPr>
              <w:t>1.9</w:t>
            </w:r>
          </w:p>
        </w:tc>
        <w:tc>
          <w:tcPr>
            <w:tcW w:w="851" w:type="dxa"/>
            <w:noWrap/>
            <w:hideMark/>
          </w:tcPr>
          <w:p w14:paraId="28D84CE2" w14:textId="77777777" w:rsidR="0042496E" w:rsidRPr="007E302D" w:rsidRDefault="0042496E" w:rsidP="006D3218">
            <w:pPr>
              <w:pStyle w:val="Tabletext"/>
              <w:jc w:val="center"/>
              <w:rPr>
                <w:b/>
                <w:bCs/>
                <w:szCs w:val="18"/>
              </w:rPr>
            </w:pPr>
            <w:r w:rsidRPr="007E302D">
              <w:rPr>
                <w:b/>
                <w:bCs/>
                <w:szCs w:val="18"/>
              </w:rPr>
              <w:t>15.0</w:t>
            </w:r>
          </w:p>
        </w:tc>
        <w:tc>
          <w:tcPr>
            <w:tcW w:w="709" w:type="dxa"/>
            <w:noWrap/>
            <w:hideMark/>
          </w:tcPr>
          <w:p w14:paraId="0D0A361F" w14:textId="77777777" w:rsidR="0042496E" w:rsidRPr="007E302D" w:rsidRDefault="0042496E" w:rsidP="006D3218">
            <w:pPr>
              <w:pStyle w:val="Tabletext"/>
              <w:jc w:val="center"/>
              <w:rPr>
                <w:b/>
                <w:bCs/>
                <w:szCs w:val="18"/>
              </w:rPr>
            </w:pPr>
            <w:r w:rsidRPr="007E302D">
              <w:rPr>
                <w:b/>
                <w:bCs/>
                <w:szCs w:val="18"/>
              </w:rPr>
              <w:t>2.9</w:t>
            </w:r>
          </w:p>
        </w:tc>
        <w:tc>
          <w:tcPr>
            <w:tcW w:w="689" w:type="dxa"/>
            <w:noWrap/>
            <w:hideMark/>
          </w:tcPr>
          <w:p w14:paraId="5BCB09B1" w14:textId="77777777" w:rsidR="0042496E" w:rsidRPr="007E302D" w:rsidRDefault="0042496E" w:rsidP="006D3218">
            <w:pPr>
              <w:pStyle w:val="Tabletext"/>
              <w:jc w:val="center"/>
              <w:rPr>
                <w:b/>
                <w:bCs/>
                <w:szCs w:val="18"/>
              </w:rPr>
            </w:pPr>
            <w:r w:rsidRPr="007E302D">
              <w:rPr>
                <w:b/>
                <w:bCs/>
                <w:szCs w:val="18"/>
              </w:rPr>
              <w:t>11.3</w:t>
            </w:r>
          </w:p>
        </w:tc>
        <w:tc>
          <w:tcPr>
            <w:tcW w:w="709" w:type="dxa"/>
            <w:noWrap/>
            <w:hideMark/>
          </w:tcPr>
          <w:p w14:paraId="173FC19E" w14:textId="77777777" w:rsidR="0042496E" w:rsidRPr="007E302D" w:rsidRDefault="0042496E" w:rsidP="006D3218">
            <w:pPr>
              <w:pStyle w:val="Tabletext"/>
              <w:jc w:val="center"/>
              <w:rPr>
                <w:b/>
                <w:bCs/>
                <w:szCs w:val="18"/>
              </w:rPr>
            </w:pPr>
            <w:r w:rsidRPr="007E302D">
              <w:rPr>
                <w:b/>
                <w:bCs/>
                <w:szCs w:val="18"/>
              </w:rPr>
              <w:t>31.1</w:t>
            </w:r>
          </w:p>
        </w:tc>
      </w:tr>
      <w:tr w:rsidR="0042496E" w:rsidRPr="00B452A7" w14:paraId="2FD3FB1D" w14:textId="77777777" w:rsidTr="00686A50">
        <w:trPr>
          <w:trHeight w:val="280"/>
        </w:trPr>
        <w:tc>
          <w:tcPr>
            <w:tcW w:w="4820" w:type="dxa"/>
            <w:noWrap/>
            <w:hideMark/>
          </w:tcPr>
          <w:p w14:paraId="2E19F898" w14:textId="3E189443" w:rsidR="0042496E" w:rsidRPr="007E302D" w:rsidRDefault="0079721A" w:rsidP="006D3218">
            <w:pPr>
              <w:pStyle w:val="Tabletext"/>
              <w:rPr>
                <w:szCs w:val="18"/>
              </w:rPr>
            </w:pPr>
            <w:r w:rsidRPr="007E302D">
              <w:rPr>
                <w:szCs w:val="18"/>
              </w:rPr>
              <w:t>U</w:t>
            </w:r>
            <w:r>
              <w:rPr>
                <w:szCs w:val="18"/>
              </w:rPr>
              <w:t>ganda</w:t>
            </w:r>
            <w:r w:rsidRPr="007E302D">
              <w:rPr>
                <w:szCs w:val="18"/>
              </w:rPr>
              <w:t xml:space="preserve"> </w:t>
            </w:r>
            <w:r w:rsidR="0042496E" w:rsidRPr="007E302D">
              <w:rPr>
                <w:szCs w:val="18"/>
              </w:rPr>
              <w:t>North-eastern Road-corridor Asset Management Project (NERAMP)</w:t>
            </w:r>
          </w:p>
        </w:tc>
        <w:tc>
          <w:tcPr>
            <w:tcW w:w="581" w:type="dxa"/>
            <w:noWrap/>
            <w:hideMark/>
          </w:tcPr>
          <w:p w14:paraId="3562A25B" w14:textId="77777777" w:rsidR="0042496E" w:rsidRPr="007E302D" w:rsidRDefault="0042496E" w:rsidP="006D3218">
            <w:pPr>
              <w:pStyle w:val="Tabletext"/>
              <w:jc w:val="center"/>
              <w:rPr>
                <w:szCs w:val="18"/>
              </w:rPr>
            </w:pPr>
            <w:r w:rsidRPr="007E302D">
              <w:rPr>
                <w:szCs w:val="18"/>
              </w:rPr>
              <w:t>27.6</w:t>
            </w:r>
          </w:p>
        </w:tc>
        <w:tc>
          <w:tcPr>
            <w:tcW w:w="851" w:type="dxa"/>
            <w:noWrap/>
            <w:hideMark/>
          </w:tcPr>
          <w:p w14:paraId="23FB4D4F" w14:textId="77777777" w:rsidR="0042496E" w:rsidRPr="007E302D" w:rsidRDefault="0042496E" w:rsidP="006D3218">
            <w:pPr>
              <w:pStyle w:val="Tabletext"/>
              <w:jc w:val="center"/>
              <w:rPr>
                <w:szCs w:val="18"/>
              </w:rPr>
            </w:pPr>
          </w:p>
        </w:tc>
        <w:tc>
          <w:tcPr>
            <w:tcW w:w="709" w:type="dxa"/>
            <w:noWrap/>
            <w:hideMark/>
          </w:tcPr>
          <w:p w14:paraId="7AD197C7" w14:textId="77777777" w:rsidR="0042496E" w:rsidRPr="007E302D" w:rsidRDefault="0042496E" w:rsidP="006D3218">
            <w:pPr>
              <w:pStyle w:val="Tabletext"/>
              <w:jc w:val="center"/>
              <w:rPr>
                <w:szCs w:val="18"/>
              </w:rPr>
            </w:pPr>
            <w:r w:rsidRPr="007E302D">
              <w:rPr>
                <w:szCs w:val="18"/>
              </w:rPr>
              <w:t>3.2</w:t>
            </w:r>
          </w:p>
        </w:tc>
        <w:tc>
          <w:tcPr>
            <w:tcW w:w="689" w:type="dxa"/>
            <w:noWrap/>
            <w:hideMark/>
          </w:tcPr>
          <w:p w14:paraId="55B8A374" w14:textId="77777777" w:rsidR="0042496E" w:rsidRPr="007E302D" w:rsidRDefault="0042496E" w:rsidP="006D3218">
            <w:pPr>
              <w:pStyle w:val="Tabletext"/>
              <w:jc w:val="center"/>
              <w:rPr>
                <w:szCs w:val="18"/>
              </w:rPr>
            </w:pPr>
          </w:p>
        </w:tc>
        <w:tc>
          <w:tcPr>
            <w:tcW w:w="709" w:type="dxa"/>
            <w:noWrap/>
            <w:hideMark/>
          </w:tcPr>
          <w:p w14:paraId="27638437" w14:textId="77777777" w:rsidR="0042496E" w:rsidRPr="007E302D" w:rsidRDefault="0042496E" w:rsidP="006D3218">
            <w:pPr>
              <w:pStyle w:val="Tabletext"/>
              <w:jc w:val="center"/>
              <w:rPr>
                <w:szCs w:val="18"/>
              </w:rPr>
            </w:pPr>
            <w:r w:rsidRPr="007E302D">
              <w:rPr>
                <w:szCs w:val="18"/>
              </w:rPr>
              <w:t>30.8</w:t>
            </w:r>
          </w:p>
        </w:tc>
      </w:tr>
      <w:tr w:rsidR="0042496E" w:rsidRPr="00B452A7" w14:paraId="6B950084" w14:textId="77777777" w:rsidTr="00686A50">
        <w:trPr>
          <w:trHeight w:val="280"/>
        </w:trPr>
        <w:tc>
          <w:tcPr>
            <w:tcW w:w="4820" w:type="dxa"/>
            <w:noWrap/>
            <w:hideMark/>
          </w:tcPr>
          <w:p w14:paraId="725545CC" w14:textId="77777777" w:rsidR="0042496E" w:rsidRPr="007E302D" w:rsidRDefault="0042496E" w:rsidP="006D3218">
            <w:pPr>
              <w:pStyle w:val="Tabletext"/>
              <w:rPr>
                <w:szCs w:val="18"/>
              </w:rPr>
            </w:pPr>
            <w:r w:rsidRPr="007E302D">
              <w:rPr>
                <w:szCs w:val="18"/>
              </w:rPr>
              <w:t>Integrated Water Management and Development Project</w:t>
            </w:r>
          </w:p>
        </w:tc>
        <w:tc>
          <w:tcPr>
            <w:tcW w:w="581" w:type="dxa"/>
            <w:noWrap/>
            <w:hideMark/>
          </w:tcPr>
          <w:p w14:paraId="4C63A123" w14:textId="77777777" w:rsidR="0042496E" w:rsidRPr="007E302D" w:rsidRDefault="0042496E" w:rsidP="006D3218">
            <w:pPr>
              <w:pStyle w:val="Tabletext"/>
              <w:jc w:val="center"/>
              <w:rPr>
                <w:b/>
                <w:bCs/>
                <w:szCs w:val="18"/>
              </w:rPr>
            </w:pPr>
          </w:p>
        </w:tc>
        <w:tc>
          <w:tcPr>
            <w:tcW w:w="851" w:type="dxa"/>
            <w:noWrap/>
            <w:hideMark/>
          </w:tcPr>
          <w:p w14:paraId="2529A9A3" w14:textId="77777777" w:rsidR="0042496E" w:rsidRPr="007E302D" w:rsidRDefault="0042496E" w:rsidP="006D3218">
            <w:pPr>
              <w:pStyle w:val="Tabletext"/>
              <w:jc w:val="center"/>
              <w:rPr>
                <w:b/>
                <w:bCs/>
                <w:szCs w:val="18"/>
              </w:rPr>
            </w:pPr>
            <w:r w:rsidRPr="007E302D">
              <w:rPr>
                <w:b/>
                <w:bCs/>
                <w:szCs w:val="18"/>
              </w:rPr>
              <w:t>10.3</w:t>
            </w:r>
          </w:p>
        </w:tc>
        <w:tc>
          <w:tcPr>
            <w:tcW w:w="709" w:type="dxa"/>
            <w:noWrap/>
            <w:hideMark/>
          </w:tcPr>
          <w:p w14:paraId="4A5D9799" w14:textId="77777777" w:rsidR="0042496E" w:rsidRPr="007E302D" w:rsidRDefault="0042496E" w:rsidP="006D3218">
            <w:pPr>
              <w:pStyle w:val="Tabletext"/>
              <w:jc w:val="center"/>
              <w:rPr>
                <w:b/>
                <w:bCs/>
                <w:szCs w:val="18"/>
              </w:rPr>
            </w:pPr>
            <w:r w:rsidRPr="007E302D">
              <w:rPr>
                <w:b/>
                <w:bCs/>
                <w:szCs w:val="18"/>
              </w:rPr>
              <w:t>3.1</w:t>
            </w:r>
          </w:p>
        </w:tc>
        <w:tc>
          <w:tcPr>
            <w:tcW w:w="689" w:type="dxa"/>
            <w:noWrap/>
            <w:hideMark/>
          </w:tcPr>
          <w:p w14:paraId="038DAA11" w14:textId="77777777" w:rsidR="0042496E" w:rsidRPr="007E302D" w:rsidRDefault="0042496E" w:rsidP="006D3218">
            <w:pPr>
              <w:pStyle w:val="Tabletext"/>
              <w:jc w:val="center"/>
              <w:rPr>
                <w:b/>
                <w:bCs/>
                <w:szCs w:val="18"/>
              </w:rPr>
            </w:pPr>
            <w:r w:rsidRPr="007E302D">
              <w:rPr>
                <w:b/>
                <w:bCs/>
                <w:szCs w:val="18"/>
              </w:rPr>
              <w:t>6.6</w:t>
            </w:r>
          </w:p>
        </w:tc>
        <w:tc>
          <w:tcPr>
            <w:tcW w:w="709" w:type="dxa"/>
            <w:noWrap/>
            <w:hideMark/>
          </w:tcPr>
          <w:p w14:paraId="6CC20DB6" w14:textId="77777777" w:rsidR="0042496E" w:rsidRPr="007E302D" w:rsidRDefault="0042496E" w:rsidP="006D3218">
            <w:pPr>
              <w:pStyle w:val="Tabletext"/>
              <w:jc w:val="center"/>
              <w:rPr>
                <w:b/>
                <w:bCs/>
                <w:szCs w:val="18"/>
              </w:rPr>
            </w:pPr>
            <w:r w:rsidRPr="007E302D">
              <w:rPr>
                <w:b/>
                <w:bCs/>
                <w:szCs w:val="18"/>
              </w:rPr>
              <w:t>20.1</w:t>
            </w:r>
          </w:p>
        </w:tc>
      </w:tr>
      <w:tr w:rsidR="0042496E" w:rsidRPr="00B452A7" w14:paraId="67693EF6" w14:textId="77777777" w:rsidTr="00686A50">
        <w:trPr>
          <w:trHeight w:val="280"/>
        </w:trPr>
        <w:tc>
          <w:tcPr>
            <w:tcW w:w="4820" w:type="dxa"/>
            <w:noWrap/>
            <w:hideMark/>
          </w:tcPr>
          <w:p w14:paraId="4E41BC77" w14:textId="77777777" w:rsidR="0042496E" w:rsidRPr="007E302D" w:rsidRDefault="0042496E" w:rsidP="006D3218">
            <w:pPr>
              <w:pStyle w:val="Tabletext"/>
              <w:rPr>
                <w:szCs w:val="18"/>
              </w:rPr>
            </w:pPr>
            <w:r w:rsidRPr="007E302D">
              <w:rPr>
                <w:szCs w:val="18"/>
              </w:rPr>
              <w:lastRenderedPageBreak/>
              <w:t>Electricity Sector Development Project</w:t>
            </w:r>
          </w:p>
        </w:tc>
        <w:tc>
          <w:tcPr>
            <w:tcW w:w="581" w:type="dxa"/>
            <w:noWrap/>
            <w:hideMark/>
          </w:tcPr>
          <w:p w14:paraId="4AE80C74" w14:textId="77777777" w:rsidR="0042496E" w:rsidRPr="007E302D" w:rsidRDefault="0042496E" w:rsidP="006D3218">
            <w:pPr>
              <w:pStyle w:val="Tabletext"/>
              <w:jc w:val="center"/>
              <w:rPr>
                <w:szCs w:val="18"/>
              </w:rPr>
            </w:pPr>
            <w:r w:rsidRPr="007E302D">
              <w:rPr>
                <w:szCs w:val="18"/>
              </w:rPr>
              <w:t>5.9</w:t>
            </w:r>
          </w:p>
        </w:tc>
        <w:tc>
          <w:tcPr>
            <w:tcW w:w="851" w:type="dxa"/>
            <w:noWrap/>
            <w:hideMark/>
          </w:tcPr>
          <w:p w14:paraId="43329535" w14:textId="77777777" w:rsidR="0042496E" w:rsidRPr="007E302D" w:rsidRDefault="0042496E" w:rsidP="006D3218">
            <w:pPr>
              <w:pStyle w:val="Tabletext"/>
              <w:jc w:val="center"/>
              <w:rPr>
                <w:szCs w:val="18"/>
              </w:rPr>
            </w:pPr>
            <w:r w:rsidRPr="007E302D">
              <w:rPr>
                <w:szCs w:val="18"/>
              </w:rPr>
              <w:t>6.2</w:t>
            </w:r>
          </w:p>
        </w:tc>
        <w:tc>
          <w:tcPr>
            <w:tcW w:w="709" w:type="dxa"/>
            <w:noWrap/>
            <w:hideMark/>
          </w:tcPr>
          <w:p w14:paraId="0692EEA5" w14:textId="77777777" w:rsidR="0042496E" w:rsidRPr="007E302D" w:rsidRDefault="0042496E" w:rsidP="006D3218">
            <w:pPr>
              <w:pStyle w:val="Tabletext"/>
              <w:jc w:val="center"/>
              <w:rPr>
                <w:szCs w:val="18"/>
              </w:rPr>
            </w:pPr>
          </w:p>
        </w:tc>
        <w:tc>
          <w:tcPr>
            <w:tcW w:w="689" w:type="dxa"/>
            <w:noWrap/>
            <w:hideMark/>
          </w:tcPr>
          <w:p w14:paraId="4DD9E1FE" w14:textId="77777777" w:rsidR="0042496E" w:rsidRPr="007E302D" w:rsidRDefault="0042496E" w:rsidP="006D3218">
            <w:pPr>
              <w:pStyle w:val="Tabletext"/>
              <w:jc w:val="center"/>
              <w:rPr>
                <w:szCs w:val="18"/>
              </w:rPr>
            </w:pPr>
          </w:p>
        </w:tc>
        <w:tc>
          <w:tcPr>
            <w:tcW w:w="709" w:type="dxa"/>
            <w:noWrap/>
            <w:hideMark/>
          </w:tcPr>
          <w:p w14:paraId="3ABFB400" w14:textId="77777777" w:rsidR="0042496E" w:rsidRPr="007E302D" w:rsidRDefault="0042496E" w:rsidP="006D3218">
            <w:pPr>
              <w:pStyle w:val="Tabletext"/>
              <w:jc w:val="center"/>
              <w:rPr>
                <w:szCs w:val="18"/>
              </w:rPr>
            </w:pPr>
            <w:r w:rsidRPr="007E302D">
              <w:rPr>
                <w:szCs w:val="18"/>
              </w:rPr>
              <w:t>12.1</w:t>
            </w:r>
          </w:p>
        </w:tc>
      </w:tr>
      <w:tr w:rsidR="0042496E" w:rsidRPr="00B452A7" w14:paraId="1012BAE4" w14:textId="77777777" w:rsidTr="00686A50">
        <w:trPr>
          <w:trHeight w:val="280"/>
        </w:trPr>
        <w:tc>
          <w:tcPr>
            <w:tcW w:w="4820" w:type="dxa"/>
            <w:noWrap/>
            <w:hideMark/>
          </w:tcPr>
          <w:p w14:paraId="4BA150D6" w14:textId="77777777" w:rsidR="0042496E" w:rsidRPr="007E302D" w:rsidRDefault="0042496E" w:rsidP="006D3218">
            <w:pPr>
              <w:pStyle w:val="Tabletext"/>
              <w:rPr>
                <w:szCs w:val="18"/>
              </w:rPr>
            </w:pPr>
            <w:r w:rsidRPr="007E302D">
              <w:rPr>
                <w:szCs w:val="18"/>
              </w:rPr>
              <w:t>Irrigation for Climate Resilience Project</w:t>
            </w:r>
          </w:p>
        </w:tc>
        <w:tc>
          <w:tcPr>
            <w:tcW w:w="581" w:type="dxa"/>
            <w:noWrap/>
            <w:hideMark/>
          </w:tcPr>
          <w:p w14:paraId="06A70A0C" w14:textId="77777777" w:rsidR="0042496E" w:rsidRPr="007E302D" w:rsidRDefault="0042496E" w:rsidP="006D3218">
            <w:pPr>
              <w:pStyle w:val="Tabletext"/>
              <w:jc w:val="center"/>
              <w:rPr>
                <w:b/>
                <w:bCs/>
                <w:szCs w:val="18"/>
              </w:rPr>
            </w:pPr>
          </w:p>
        </w:tc>
        <w:tc>
          <w:tcPr>
            <w:tcW w:w="851" w:type="dxa"/>
            <w:noWrap/>
            <w:hideMark/>
          </w:tcPr>
          <w:p w14:paraId="51391BD7" w14:textId="77777777" w:rsidR="0042496E" w:rsidRPr="007E302D" w:rsidRDefault="0042496E" w:rsidP="006D3218">
            <w:pPr>
              <w:pStyle w:val="Tabletext"/>
              <w:jc w:val="center"/>
              <w:rPr>
                <w:b/>
                <w:bCs/>
                <w:szCs w:val="18"/>
              </w:rPr>
            </w:pPr>
          </w:p>
        </w:tc>
        <w:tc>
          <w:tcPr>
            <w:tcW w:w="709" w:type="dxa"/>
            <w:noWrap/>
            <w:hideMark/>
          </w:tcPr>
          <w:p w14:paraId="16EDEAC3" w14:textId="77777777" w:rsidR="0042496E" w:rsidRPr="007E302D" w:rsidRDefault="0042496E" w:rsidP="006D3218">
            <w:pPr>
              <w:pStyle w:val="Tabletext"/>
              <w:jc w:val="center"/>
              <w:rPr>
                <w:b/>
                <w:bCs/>
                <w:szCs w:val="18"/>
              </w:rPr>
            </w:pPr>
          </w:p>
        </w:tc>
        <w:tc>
          <w:tcPr>
            <w:tcW w:w="689" w:type="dxa"/>
            <w:noWrap/>
            <w:hideMark/>
          </w:tcPr>
          <w:p w14:paraId="405404A5" w14:textId="77777777" w:rsidR="0042496E" w:rsidRPr="007E302D" w:rsidRDefault="0042496E" w:rsidP="006D3218">
            <w:pPr>
              <w:pStyle w:val="Tabletext"/>
              <w:jc w:val="center"/>
              <w:rPr>
                <w:b/>
                <w:bCs/>
                <w:szCs w:val="18"/>
              </w:rPr>
            </w:pPr>
            <w:r w:rsidRPr="007E302D">
              <w:rPr>
                <w:b/>
                <w:bCs/>
                <w:szCs w:val="18"/>
              </w:rPr>
              <w:t>6.3</w:t>
            </w:r>
          </w:p>
        </w:tc>
        <w:tc>
          <w:tcPr>
            <w:tcW w:w="709" w:type="dxa"/>
            <w:noWrap/>
            <w:hideMark/>
          </w:tcPr>
          <w:p w14:paraId="7243048E" w14:textId="77777777" w:rsidR="0042496E" w:rsidRPr="007E302D" w:rsidRDefault="0042496E" w:rsidP="006D3218">
            <w:pPr>
              <w:pStyle w:val="Tabletext"/>
              <w:jc w:val="center"/>
              <w:rPr>
                <w:b/>
                <w:bCs/>
                <w:szCs w:val="18"/>
              </w:rPr>
            </w:pPr>
            <w:r w:rsidRPr="007E302D">
              <w:rPr>
                <w:b/>
                <w:bCs/>
                <w:szCs w:val="18"/>
              </w:rPr>
              <w:t>6.3</w:t>
            </w:r>
          </w:p>
        </w:tc>
      </w:tr>
      <w:tr w:rsidR="0042496E" w:rsidRPr="00B452A7" w14:paraId="28C5900E" w14:textId="77777777" w:rsidTr="00686A50">
        <w:trPr>
          <w:trHeight w:val="280"/>
        </w:trPr>
        <w:tc>
          <w:tcPr>
            <w:tcW w:w="4820" w:type="dxa"/>
            <w:noWrap/>
            <w:hideMark/>
          </w:tcPr>
          <w:p w14:paraId="399887AF" w14:textId="77777777" w:rsidR="0042496E" w:rsidRPr="007E302D" w:rsidRDefault="0042496E" w:rsidP="006D3218">
            <w:pPr>
              <w:pStyle w:val="Tabletext"/>
              <w:rPr>
                <w:szCs w:val="18"/>
              </w:rPr>
            </w:pPr>
            <w:r w:rsidRPr="007E302D">
              <w:rPr>
                <w:szCs w:val="18"/>
              </w:rPr>
              <w:t>Agricultural Technology and Agribusiness Advisory Services</w:t>
            </w:r>
          </w:p>
        </w:tc>
        <w:tc>
          <w:tcPr>
            <w:tcW w:w="581" w:type="dxa"/>
            <w:noWrap/>
            <w:hideMark/>
          </w:tcPr>
          <w:p w14:paraId="2B9A09A9" w14:textId="77777777" w:rsidR="0042496E" w:rsidRPr="007E302D" w:rsidRDefault="0042496E" w:rsidP="006D3218">
            <w:pPr>
              <w:pStyle w:val="Tabletext"/>
              <w:jc w:val="center"/>
              <w:rPr>
                <w:szCs w:val="18"/>
              </w:rPr>
            </w:pPr>
            <w:r w:rsidRPr="007E302D">
              <w:rPr>
                <w:szCs w:val="18"/>
              </w:rPr>
              <w:t>0.2</w:t>
            </w:r>
          </w:p>
        </w:tc>
        <w:tc>
          <w:tcPr>
            <w:tcW w:w="851" w:type="dxa"/>
            <w:noWrap/>
            <w:hideMark/>
          </w:tcPr>
          <w:p w14:paraId="4F715E01" w14:textId="77777777" w:rsidR="0042496E" w:rsidRPr="007E302D" w:rsidRDefault="0042496E" w:rsidP="006D3218">
            <w:pPr>
              <w:pStyle w:val="Tabletext"/>
              <w:jc w:val="center"/>
              <w:rPr>
                <w:szCs w:val="18"/>
              </w:rPr>
            </w:pPr>
          </w:p>
        </w:tc>
        <w:tc>
          <w:tcPr>
            <w:tcW w:w="709" w:type="dxa"/>
            <w:noWrap/>
            <w:hideMark/>
          </w:tcPr>
          <w:p w14:paraId="4B301C63" w14:textId="77777777" w:rsidR="0042496E" w:rsidRPr="007E302D" w:rsidRDefault="0042496E" w:rsidP="006D3218">
            <w:pPr>
              <w:pStyle w:val="Tabletext"/>
              <w:jc w:val="center"/>
              <w:rPr>
                <w:szCs w:val="18"/>
              </w:rPr>
            </w:pPr>
          </w:p>
        </w:tc>
        <w:tc>
          <w:tcPr>
            <w:tcW w:w="689" w:type="dxa"/>
            <w:noWrap/>
            <w:hideMark/>
          </w:tcPr>
          <w:p w14:paraId="0FBDDB82" w14:textId="77777777" w:rsidR="0042496E" w:rsidRPr="007E302D" w:rsidRDefault="0042496E" w:rsidP="006D3218">
            <w:pPr>
              <w:pStyle w:val="Tabletext"/>
              <w:jc w:val="center"/>
              <w:rPr>
                <w:szCs w:val="18"/>
              </w:rPr>
            </w:pPr>
          </w:p>
        </w:tc>
        <w:tc>
          <w:tcPr>
            <w:tcW w:w="709" w:type="dxa"/>
            <w:noWrap/>
            <w:hideMark/>
          </w:tcPr>
          <w:p w14:paraId="019AC007" w14:textId="77777777" w:rsidR="0042496E" w:rsidRPr="007E302D" w:rsidRDefault="0042496E" w:rsidP="006D3218">
            <w:pPr>
              <w:pStyle w:val="Tabletext"/>
              <w:jc w:val="center"/>
              <w:rPr>
                <w:szCs w:val="18"/>
              </w:rPr>
            </w:pPr>
            <w:r w:rsidRPr="007E302D">
              <w:rPr>
                <w:szCs w:val="18"/>
              </w:rPr>
              <w:t>0.2</w:t>
            </w:r>
          </w:p>
        </w:tc>
      </w:tr>
      <w:tr w:rsidR="0042496E" w:rsidRPr="00862523" w14:paraId="14C05A7B" w14:textId="77777777" w:rsidTr="00686A50">
        <w:trPr>
          <w:trHeight w:val="280"/>
        </w:trPr>
        <w:tc>
          <w:tcPr>
            <w:tcW w:w="0" w:type="dxa"/>
            <w:noWrap/>
          </w:tcPr>
          <w:p w14:paraId="3E3435D0" w14:textId="77777777" w:rsidR="0042496E" w:rsidRPr="007E302D" w:rsidRDefault="0042496E" w:rsidP="006D3218">
            <w:pPr>
              <w:pStyle w:val="Tabletext"/>
              <w:rPr>
                <w:b/>
                <w:bCs/>
                <w:szCs w:val="18"/>
              </w:rPr>
            </w:pPr>
            <w:r w:rsidRPr="007E302D">
              <w:rPr>
                <w:b/>
                <w:bCs/>
                <w:szCs w:val="18"/>
              </w:rPr>
              <w:t>Total</w:t>
            </w:r>
          </w:p>
        </w:tc>
        <w:tc>
          <w:tcPr>
            <w:tcW w:w="0" w:type="dxa"/>
            <w:noWrap/>
          </w:tcPr>
          <w:p w14:paraId="740151E6" w14:textId="77777777" w:rsidR="0042496E" w:rsidRPr="007E302D" w:rsidRDefault="0042496E" w:rsidP="006D3218">
            <w:pPr>
              <w:pStyle w:val="Tabletext"/>
              <w:jc w:val="center"/>
              <w:rPr>
                <w:b/>
                <w:bCs/>
                <w:szCs w:val="18"/>
              </w:rPr>
            </w:pPr>
            <w:r w:rsidRPr="007E302D">
              <w:rPr>
                <w:b/>
                <w:bCs/>
                <w:szCs w:val="18"/>
              </w:rPr>
              <w:t>197.1</w:t>
            </w:r>
          </w:p>
        </w:tc>
        <w:tc>
          <w:tcPr>
            <w:tcW w:w="0" w:type="dxa"/>
            <w:noWrap/>
          </w:tcPr>
          <w:p w14:paraId="71AFEB46" w14:textId="77777777" w:rsidR="0042496E" w:rsidRPr="007E302D" w:rsidRDefault="0042496E" w:rsidP="006D3218">
            <w:pPr>
              <w:pStyle w:val="Tabletext"/>
              <w:jc w:val="center"/>
              <w:rPr>
                <w:b/>
                <w:bCs/>
                <w:szCs w:val="18"/>
              </w:rPr>
            </w:pPr>
            <w:r w:rsidRPr="007E302D">
              <w:rPr>
                <w:b/>
                <w:bCs/>
                <w:szCs w:val="18"/>
              </w:rPr>
              <w:t>317.2</w:t>
            </w:r>
          </w:p>
        </w:tc>
        <w:tc>
          <w:tcPr>
            <w:tcW w:w="0" w:type="dxa"/>
            <w:noWrap/>
          </w:tcPr>
          <w:p w14:paraId="04E1CD0D" w14:textId="77777777" w:rsidR="0042496E" w:rsidRPr="007E302D" w:rsidRDefault="0042496E" w:rsidP="006D3218">
            <w:pPr>
              <w:pStyle w:val="Tabletext"/>
              <w:jc w:val="center"/>
              <w:rPr>
                <w:b/>
                <w:bCs/>
                <w:szCs w:val="18"/>
              </w:rPr>
            </w:pPr>
            <w:r w:rsidRPr="007E302D">
              <w:rPr>
                <w:b/>
                <w:bCs/>
                <w:szCs w:val="18"/>
              </w:rPr>
              <w:t>707.9</w:t>
            </w:r>
          </w:p>
        </w:tc>
        <w:tc>
          <w:tcPr>
            <w:tcW w:w="0" w:type="dxa"/>
            <w:noWrap/>
          </w:tcPr>
          <w:p w14:paraId="65841F7F" w14:textId="77777777" w:rsidR="0042496E" w:rsidRPr="007E302D" w:rsidRDefault="0042496E" w:rsidP="006D3218">
            <w:pPr>
              <w:pStyle w:val="Tabletext"/>
              <w:jc w:val="center"/>
              <w:rPr>
                <w:b/>
                <w:bCs/>
                <w:szCs w:val="18"/>
              </w:rPr>
            </w:pPr>
            <w:r w:rsidRPr="007E302D">
              <w:rPr>
                <w:b/>
                <w:bCs/>
                <w:szCs w:val="18"/>
              </w:rPr>
              <w:t>141.2</w:t>
            </w:r>
          </w:p>
        </w:tc>
        <w:tc>
          <w:tcPr>
            <w:tcW w:w="0" w:type="dxa"/>
            <w:noWrap/>
          </w:tcPr>
          <w:p w14:paraId="18B938AF" w14:textId="77777777" w:rsidR="0042496E" w:rsidRPr="007E302D" w:rsidRDefault="0042496E" w:rsidP="006D3218">
            <w:pPr>
              <w:pStyle w:val="Tabletext"/>
              <w:rPr>
                <w:b/>
                <w:bCs/>
                <w:szCs w:val="18"/>
              </w:rPr>
            </w:pPr>
            <w:r w:rsidRPr="007E302D">
              <w:rPr>
                <w:b/>
                <w:bCs/>
                <w:szCs w:val="18"/>
              </w:rPr>
              <w:t>1,362.8</w:t>
            </w:r>
          </w:p>
        </w:tc>
      </w:tr>
    </w:tbl>
    <w:p w14:paraId="325BF069" w14:textId="4FFCAC60" w:rsidR="0042496E" w:rsidRDefault="0042496E" w:rsidP="0042496E">
      <w:pPr>
        <w:pStyle w:val="Source"/>
        <w:rPr>
          <w:lang w:val="en-US"/>
        </w:rPr>
      </w:pPr>
      <w:r w:rsidRPr="00C81A98">
        <w:t>Source:</w:t>
      </w:r>
      <w:r w:rsidRPr="00C81A98">
        <w:rPr>
          <w:lang w:val="en-US"/>
        </w:rPr>
        <w:t xml:space="preserve"> Development Initiatives based on IATI and project documents from </w:t>
      </w:r>
      <w:r w:rsidR="0079721A">
        <w:rPr>
          <w:lang w:val="en-US"/>
        </w:rPr>
        <w:t>IFI</w:t>
      </w:r>
      <w:r w:rsidRPr="00C81A98">
        <w:rPr>
          <w:lang w:val="en-US"/>
        </w:rPr>
        <w:t xml:space="preserve"> lenders</w:t>
      </w:r>
      <w:r>
        <w:rPr>
          <w:lang w:val="en-US"/>
        </w:rPr>
        <w:t>.</w:t>
      </w:r>
    </w:p>
    <w:p w14:paraId="0C22A9D0" w14:textId="6954F1C8" w:rsidR="0042496E" w:rsidRPr="00C81A98" w:rsidRDefault="0042496E" w:rsidP="0042496E">
      <w:pPr>
        <w:pStyle w:val="Source"/>
        <w:rPr>
          <w:lang w:val="en-US"/>
        </w:rPr>
      </w:pPr>
      <w:r w:rsidRPr="0055490D">
        <w:rPr>
          <w:rFonts w:cstheme="minorHAnsi"/>
          <w:lang w:val="en-US"/>
        </w:rPr>
        <w:t xml:space="preserve">Note: </w:t>
      </w:r>
      <w:r w:rsidR="00933D4E" w:rsidRPr="0055490D">
        <w:rPr>
          <w:rFonts w:cstheme="minorHAnsi"/>
          <w:lang w:val="en-US"/>
        </w:rPr>
        <w:t>Data for 2021</w:t>
      </w:r>
      <w:r w:rsidR="00933D4E" w:rsidRPr="0055490D">
        <w:rPr>
          <w:lang w:val="en-US"/>
        </w:rPr>
        <w:t xml:space="preserve"> does not include all the loans that will be advanced this year</w:t>
      </w:r>
      <w:r w:rsidR="00933D4E">
        <w:rPr>
          <w:lang w:val="en-US"/>
        </w:rPr>
        <w:t>: only l</w:t>
      </w:r>
      <w:r w:rsidR="00933D4E" w:rsidRPr="0055490D">
        <w:rPr>
          <w:lang w:val="en-US"/>
        </w:rPr>
        <w:t xml:space="preserve">oans </w:t>
      </w:r>
      <w:r w:rsidR="00933D4E">
        <w:rPr>
          <w:lang w:val="en-US"/>
        </w:rPr>
        <w:t>made up to and including</w:t>
      </w:r>
      <w:r w:rsidR="00933D4E" w:rsidRPr="0055490D">
        <w:rPr>
          <w:lang w:val="en-US"/>
        </w:rPr>
        <w:t xml:space="preserve"> </w:t>
      </w:r>
      <w:r w:rsidR="00933D4E">
        <w:rPr>
          <w:lang w:val="en-US"/>
        </w:rPr>
        <w:t>June</w:t>
      </w:r>
      <w:r w:rsidR="00933D4E" w:rsidRPr="0055490D">
        <w:rPr>
          <w:lang w:val="en-US"/>
        </w:rPr>
        <w:t xml:space="preserve"> 2021</w:t>
      </w:r>
      <w:r w:rsidR="00933D4E">
        <w:rPr>
          <w:lang w:val="en-US"/>
        </w:rPr>
        <w:t xml:space="preserve"> were counted. </w:t>
      </w:r>
    </w:p>
    <w:p w14:paraId="44EB70B7" w14:textId="38E045B0" w:rsidR="003C1E14" w:rsidRDefault="003C1E14">
      <w:pPr>
        <w:spacing w:before="0" w:line="240" w:lineRule="auto"/>
        <w:rPr>
          <w:lang w:val="en-US"/>
        </w:rPr>
      </w:pPr>
      <w:r>
        <w:rPr>
          <w:lang w:val="en-US"/>
        </w:rPr>
        <w:br w:type="page"/>
      </w:r>
    </w:p>
    <w:p w14:paraId="3B254798" w14:textId="1C01E943" w:rsidR="001D111C" w:rsidRDefault="001D111C" w:rsidP="001D111C">
      <w:pPr>
        <w:pStyle w:val="Tabletitle"/>
        <w:rPr>
          <w:lang w:val="en-US"/>
        </w:rPr>
      </w:pPr>
      <w:bookmarkStart w:id="44" w:name="TabA2"/>
      <w:r>
        <w:rPr>
          <w:lang w:val="en-US"/>
        </w:rPr>
        <w:lastRenderedPageBreak/>
        <w:t xml:space="preserve">Table </w:t>
      </w:r>
      <w:r w:rsidR="004F08B7">
        <w:rPr>
          <w:lang w:val="en-US"/>
        </w:rPr>
        <w:t>A</w:t>
      </w:r>
      <w:r>
        <w:rPr>
          <w:lang w:val="en-US"/>
        </w:rPr>
        <w:t>2: Af</w:t>
      </w:r>
      <w:r w:rsidR="0079721A">
        <w:rPr>
          <w:lang w:val="en-US"/>
        </w:rPr>
        <w:t xml:space="preserve">rican </w:t>
      </w:r>
      <w:r>
        <w:rPr>
          <w:lang w:val="en-US"/>
        </w:rPr>
        <w:t>D</w:t>
      </w:r>
      <w:r w:rsidR="0079721A">
        <w:rPr>
          <w:lang w:val="en-US"/>
        </w:rPr>
        <w:t xml:space="preserve">evelopment </w:t>
      </w:r>
      <w:r>
        <w:rPr>
          <w:lang w:val="en-US"/>
        </w:rPr>
        <w:t>B</w:t>
      </w:r>
      <w:r w:rsidR="0079721A">
        <w:rPr>
          <w:lang w:val="en-US"/>
        </w:rPr>
        <w:t>ank</w:t>
      </w:r>
      <w:r>
        <w:rPr>
          <w:lang w:val="en-US"/>
        </w:rPr>
        <w:t xml:space="preserve"> loan</w:t>
      </w:r>
      <w:r w:rsidR="0079721A">
        <w:rPr>
          <w:lang w:val="en-US"/>
        </w:rPr>
        <w:t>-</w:t>
      </w:r>
      <w:r>
        <w:rPr>
          <w:lang w:val="en-US"/>
        </w:rPr>
        <w:t xml:space="preserve">financed projects for the period from </w:t>
      </w:r>
      <w:r w:rsidR="0079721A">
        <w:rPr>
          <w:lang w:val="en-US"/>
        </w:rPr>
        <w:t xml:space="preserve">January </w:t>
      </w:r>
      <w:r>
        <w:rPr>
          <w:lang w:val="en-US"/>
        </w:rPr>
        <w:t>2018</w:t>
      </w:r>
      <w:r w:rsidR="0079721A">
        <w:rPr>
          <w:rFonts w:cstheme="minorHAnsi"/>
          <w:lang w:val="en-US"/>
        </w:rPr>
        <w:t xml:space="preserve"> to June </w:t>
      </w:r>
      <w:r>
        <w:rPr>
          <w:lang w:val="en-US"/>
        </w:rPr>
        <w:t>2021</w:t>
      </w:r>
    </w:p>
    <w:tbl>
      <w:tblPr>
        <w:tblStyle w:val="DItable"/>
        <w:tblW w:w="7921" w:type="dxa"/>
        <w:tblLook w:val="0420" w:firstRow="1" w:lastRow="0" w:firstColumn="0" w:lastColumn="0" w:noHBand="0" w:noVBand="1"/>
      </w:tblPr>
      <w:tblGrid>
        <w:gridCol w:w="4673"/>
        <w:gridCol w:w="800"/>
        <w:gridCol w:w="699"/>
        <w:gridCol w:w="699"/>
        <w:gridCol w:w="1050"/>
      </w:tblGrid>
      <w:tr w:rsidR="001D111C" w:rsidRPr="00B03AD4" w14:paraId="1DC2E8CB" w14:textId="77777777" w:rsidTr="009D7657">
        <w:trPr>
          <w:cnfStyle w:val="100000000000" w:firstRow="1" w:lastRow="0" w:firstColumn="0" w:lastColumn="0" w:oddVBand="0" w:evenVBand="0" w:oddHBand="0" w:evenHBand="0" w:firstRowFirstColumn="0" w:firstRowLastColumn="0" w:lastRowFirstColumn="0" w:lastRowLastColumn="0"/>
          <w:trHeight w:val="265"/>
        </w:trPr>
        <w:tc>
          <w:tcPr>
            <w:tcW w:w="4673" w:type="dxa"/>
            <w:shd w:val="clear" w:color="auto" w:fill="FFFFFF" w:themeFill="background1"/>
            <w:noWrap/>
            <w:hideMark/>
          </w:tcPr>
          <w:bookmarkEnd w:id="44"/>
          <w:p w14:paraId="203869BD" w14:textId="77777777" w:rsidR="001D111C" w:rsidRPr="009D7657" w:rsidRDefault="001D111C" w:rsidP="007209C2">
            <w:pPr>
              <w:pStyle w:val="Tabletext"/>
              <w:rPr>
                <w:szCs w:val="18"/>
              </w:rPr>
            </w:pPr>
            <w:r w:rsidRPr="009D7657">
              <w:rPr>
                <w:szCs w:val="18"/>
              </w:rPr>
              <w:t>Project</w:t>
            </w:r>
          </w:p>
        </w:tc>
        <w:tc>
          <w:tcPr>
            <w:tcW w:w="800" w:type="dxa"/>
            <w:shd w:val="clear" w:color="auto" w:fill="FFFFFF" w:themeFill="background1"/>
            <w:noWrap/>
            <w:hideMark/>
          </w:tcPr>
          <w:p w14:paraId="2F3D3122" w14:textId="77777777" w:rsidR="001D111C" w:rsidRPr="009D7657" w:rsidRDefault="001D111C" w:rsidP="007209C2">
            <w:pPr>
              <w:pStyle w:val="Tabletext"/>
              <w:jc w:val="center"/>
              <w:rPr>
                <w:szCs w:val="18"/>
              </w:rPr>
            </w:pPr>
            <w:r w:rsidRPr="009D7657">
              <w:rPr>
                <w:szCs w:val="18"/>
              </w:rPr>
              <w:t>2018</w:t>
            </w:r>
          </w:p>
        </w:tc>
        <w:tc>
          <w:tcPr>
            <w:tcW w:w="699" w:type="dxa"/>
            <w:shd w:val="clear" w:color="auto" w:fill="FFFFFF" w:themeFill="background1"/>
            <w:noWrap/>
            <w:hideMark/>
          </w:tcPr>
          <w:p w14:paraId="5992A50A" w14:textId="77777777" w:rsidR="001D111C" w:rsidRPr="009D7657" w:rsidRDefault="001D111C" w:rsidP="007209C2">
            <w:pPr>
              <w:pStyle w:val="Tabletext"/>
              <w:jc w:val="center"/>
              <w:rPr>
                <w:szCs w:val="18"/>
              </w:rPr>
            </w:pPr>
            <w:r w:rsidRPr="009D7657">
              <w:rPr>
                <w:szCs w:val="18"/>
              </w:rPr>
              <w:t>2019</w:t>
            </w:r>
          </w:p>
        </w:tc>
        <w:tc>
          <w:tcPr>
            <w:tcW w:w="699" w:type="dxa"/>
            <w:shd w:val="clear" w:color="auto" w:fill="FFFFFF" w:themeFill="background1"/>
            <w:noWrap/>
            <w:hideMark/>
          </w:tcPr>
          <w:p w14:paraId="69D2599B" w14:textId="77777777" w:rsidR="001D111C" w:rsidRPr="009D7657" w:rsidRDefault="001D111C" w:rsidP="007209C2">
            <w:pPr>
              <w:pStyle w:val="Tabletext"/>
              <w:jc w:val="center"/>
              <w:rPr>
                <w:szCs w:val="18"/>
              </w:rPr>
            </w:pPr>
            <w:r w:rsidRPr="009D7657">
              <w:rPr>
                <w:szCs w:val="18"/>
              </w:rPr>
              <w:t>2020</w:t>
            </w:r>
          </w:p>
        </w:tc>
        <w:tc>
          <w:tcPr>
            <w:tcW w:w="1050" w:type="dxa"/>
            <w:shd w:val="clear" w:color="auto" w:fill="FFFFFF" w:themeFill="background1"/>
            <w:noWrap/>
            <w:hideMark/>
          </w:tcPr>
          <w:p w14:paraId="45C47B81" w14:textId="77777777" w:rsidR="001D111C" w:rsidRPr="009D7657" w:rsidRDefault="001D111C" w:rsidP="007209C2">
            <w:pPr>
              <w:pStyle w:val="Tabletext"/>
              <w:jc w:val="center"/>
              <w:rPr>
                <w:szCs w:val="18"/>
              </w:rPr>
            </w:pPr>
            <w:r w:rsidRPr="009D7657">
              <w:rPr>
                <w:szCs w:val="18"/>
              </w:rPr>
              <w:t>Total</w:t>
            </w:r>
          </w:p>
        </w:tc>
      </w:tr>
      <w:tr w:rsidR="001D111C" w:rsidRPr="00B03AD4" w14:paraId="2E8005AF" w14:textId="77777777" w:rsidTr="00686A50">
        <w:trPr>
          <w:trHeight w:val="265"/>
        </w:trPr>
        <w:tc>
          <w:tcPr>
            <w:tcW w:w="4673" w:type="dxa"/>
            <w:noWrap/>
            <w:hideMark/>
          </w:tcPr>
          <w:p w14:paraId="596980EC" w14:textId="77777777" w:rsidR="001D111C" w:rsidRPr="00B03AD4" w:rsidRDefault="001D111C" w:rsidP="007209C2">
            <w:pPr>
              <w:pStyle w:val="Tabletext"/>
              <w:rPr>
                <w:szCs w:val="18"/>
              </w:rPr>
            </w:pPr>
            <w:r w:rsidRPr="00B03AD4">
              <w:rPr>
                <w:szCs w:val="18"/>
              </w:rPr>
              <w:t xml:space="preserve">Markets and Agricultural Trade Improvement Programme: Project – 2 </w:t>
            </w:r>
          </w:p>
        </w:tc>
        <w:tc>
          <w:tcPr>
            <w:tcW w:w="800" w:type="dxa"/>
            <w:noWrap/>
            <w:hideMark/>
          </w:tcPr>
          <w:p w14:paraId="3F83BB05" w14:textId="77777777" w:rsidR="001D111C" w:rsidRPr="00B03AD4" w:rsidRDefault="001D111C" w:rsidP="007209C2">
            <w:pPr>
              <w:pStyle w:val="Tabletext"/>
              <w:jc w:val="center"/>
              <w:rPr>
                <w:szCs w:val="18"/>
              </w:rPr>
            </w:pPr>
            <w:r w:rsidRPr="00B03AD4">
              <w:rPr>
                <w:szCs w:val="18"/>
              </w:rPr>
              <w:t>16.8</w:t>
            </w:r>
          </w:p>
        </w:tc>
        <w:tc>
          <w:tcPr>
            <w:tcW w:w="699" w:type="dxa"/>
            <w:noWrap/>
            <w:hideMark/>
          </w:tcPr>
          <w:p w14:paraId="3BAA8E20" w14:textId="77777777" w:rsidR="001D111C" w:rsidRPr="00B03AD4" w:rsidRDefault="001D111C" w:rsidP="007209C2">
            <w:pPr>
              <w:pStyle w:val="Tabletext"/>
              <w:jc w:val="center"/>
              <w:rPr>
                <w:szCs w:val="18"/>
              </w:rPr>
            </w:pPr>
            <w:r w:rsidRPr="00B03AD4">
              <w:rPr>
                <w:szCs w:val="18"/>
              </w:rPr>
              <w:t>21.8</w:t>
            </w:r>
          </w:p>
        </w:tc>
        <w:tc>
          <w:tcPr>
            <w:tcW w:w="699" w:type="dxa"/>
            <w:noWrap/>
            <w:hideMark/>
          </w:tcPr>
          <w:p w14:paraId="191B3D44" w14:textId="77777777" w:rsidR="001D111C" w:rsidRPr="00B03AD4" w:rsidRDefault="001D111C" w:rsidP="007209C2">
            <w:pPr>
              <w:pStyle w:val="Tabletext"/>
              <w:jc w:val="center"/>
              <w:rPr>
                <w:szCs w:val="18"/>
              </w:rPr>
            </w:pPr>
            <w:r w:rsidRPr="00B03AD4">
              <w:rPr>
                <w:szCs w:val="18"/>
              </w:rPr>
              <w:t>18.1</w:t>
            </w:r>
          </w:p>
        </w:tc>
        <w:tc>
          <w:tcPr>
            <w:tcW w:w="1050" w:type="dxa"/>
            <w:noWrap/>
            <w:hideMark/>
          </w:tcPr>
          <w:p w14:paraId="450A12CC" w14:textId="77777777" w:rsidR="001D111C" w:rsidRPr="00B03AD4" w:rsidRDefault="001D111C" w:rsidP="007209C2">
            <w:pPr>
              <w:pStyle w:val="Tabletext"/>
              <w:jc w:val="center"/>
              <w:rPr>
                <w:szCs w:val="18"/>
              </w:rPr>
            </w:pPr>
            <w:r w:rsidRPr="00B03AD4">
              <w:rPr>
                <w:szCs w:val="18"/>
              </w:rPr>
              <w:t>56.7</w:t>
            </w:r>
          </w:p>
        </w:tc>
      </w:tr>
      <w:tr w:rsidR="001D111C" w:rsidRPr="00B03AD4" w14:paraId="308E2694" w14:textId="77777777" w:rsidTr="00686A50">
        <w:trPr>
          <w:trHeight w:val="265"/>
        </w:trPr>
        <w:tc>
          <w:tcPr>
            <w:tcW w:w="4673" w:type="dxa"/>
            <w:noWrap/>
            <w:hideMark/>
          </w:tcPr>
          <w:p w14:paraId="0066E1CC" w14:textId="77777777" w:rsidR="001D111C" w:rsidRPr="00B03AD4" w:rsidRDefault="001D111C" w:rsidP="007209C2">
            <w:pPr>
              <w:pStyle w:val="Tabletext"/>
              <w:rPr>
                <w:szCs w:val="18"/>
              </w:rPr>
            </w:pPr>
            <w:r w:rsidRPr="00B03AD4">
              <w:rPr>
                <w:szCs w:val="18"/>
              </w:rPr>
              <w:t>Water Supply and Sanitation Programme Phase II</w:t>
            </w:r>
          </w:p>
        </w:tc>
        <w:tc>
          <w:tcPr>
            <w:tcW w:w="800" w:type="dxa"/>
            <w:noWrap/>
            <w:hideMark/>
          </w:tcPr>
          <w:p w14:paraId="05F0ECB6" w14:textId="77777777" w:rsidR="001D111C" w:rsidRPr="00B03AD4" w:rsidRDefault="001D111C" w:rsidP="007209C2">
            <w:pPr>
              <w:pStyle w:val="Tabletext"/>
              <w:jc w:val="center"/>
              <w:rPr>
                <w:szCs w:val="18"/>
              </w:rPr>
            </w:pPr>
            <w:r w:rsidRPr="00B03AD4">
              <w:rPr>
                <w:szCs w:val="18"/>
              </w:rPr>
              <w:t>12.5</w:t>
            </w:r>
          </w:p>
        </w:tc>
        <w:tc>
          <w:tcPr>
            <w:tcW w:w="699" w:type="dxa"/>
            <w:noWrap/>
            <w:hideMark/>
          </w:tcPr>
          <w:p w14:paraId="06B5ABEF" w14:textId="77777777" w:rsidR="001D111C" w:rsidRPr="00B03AD4" w:rsidRDefault="001D111C" w:rsidP="007209C2">
            <w:pPr>
              <w:pStyle w:val="Tabletext"/>
              <w:jc w:val="center"/>
              <w:rPr>
                <w:szCs w:val="18"/>
              </w:rPr>
            </w:pPr>
            <w:r w:rsidRPr="00B03AD4">
              <w:rPr>
                <w:szCs w:val="18"/>
              </w:rPr>
              <w:t>22.6</w:t>
            </w:r>
          </w:p>
        </w:tc>
        <w:tc>
          <w:tcPr>
            <w:tcW w:w="699" w:type="dxa"/>
            <w:noWrap/>
            <w:hideMark/>
          </w:tcPr>
          <w:p w14:paraId="029198F3" w14:textId="77777777" w:rsidR="001D111C" w:rsidRPr="00B03AD4" w:rsidRDefault="001D111C" w:rsidP="007209C2">
            <w:pPr>
              <w:pStyle w:val="Tabletext"/>
              <w:jc w:val="center"/>
              <w:rPr>
                <w:szCs w:val="18"/>
              </w:rPr>
            </w:pPr>
            <w:r w:rsidRPr="00B03AD4">
              <w:rPr>
                <w:szCs w:val="18"/>
              </w:rPr>
              <w:t>19.7</w:t>
            </w:r>
          </w:p>
        </w:tc>
        <w:tc>
          <w:tcPr>
            <w:tcW w:w="1050" w:type="dxa"/>
            <w:noWrap/>
            <w:hideMark/>
          </w:tcPr>
          <w:p w14:paraId="26A55A83" w14:textId="77777777" w:rsidR="001D111C" w:rsidRPr="00B03AD4" w:rsidRDefault="001D111C" w:rsidP="007209C2">
            <w:pPr>
              <w:pStyle w:val="Tabletext"/>
              <w:jc w:val="center"/>
              <w:rPr>
                <w:szCs w:val="18"/>
              </w:rPr>
            </w:pPr>
            <w:r w:rsidRPr="00B03AD4">
              <w:rPr>
                <w:szCs w:val="18"/>
              </w:rPr>
              <w:t>54.8</w:t>
            </w:r>
          </w:p>
        </w:tc>
      </w:tr>
      <w:tr w:rsidR="001D111C" w:rsidRPr="00B03AD4" w14:paraId="47228E3C" w14:textId="77777777" w:rsidTr="00686A50">
        <w:trPr>
          <w:trHeight w:val="265"/>
        </w:trPr>
        <w:tc>
          <w:tcPr>
            <w:tcW w:w="4673" w:type="dxa"/>
            <w:noWrap/>
            <w:hideMark/>
          </w:tcPr>
          <w:p w14:paraId="586AB978" w14:textId="77777777" w:rsidR="001D111C" w:rsidRPr="00B03AD4" w:rsidRDefault="001D111C" w:rsidP="007209C2">
            <w:pPr>
              <w:pStyle w:val="Tabletext"/>
              <w:rPr>
                <w:szCs w:val="18"/>
              </w:rPr>
            </w:pPr>
            <w:r w:rsidRPr="00B03AD4">
              <w:rPr>
                <w:szCs w:val="18"/>
              </w:rPr>
              <w:t>Support to Higher Education, Science and Technology</w:t>
            </w:r>
            <w:r>
              <w:rPr>
                <w:szCs w:val="18"/>
              </w:rPr>
              <w:t xml:space="preserve"> </w:t>
            </w:r>
            <w:r w:rsidRPr="00B03AD4">
              <w:rPr>
                <w:szCs w:val="18"/>
              </w:rPr>
              <w:t>Project</w:t>
            </w:r>
          </w:p>
        </w:tc>
        <w:tc>
          <w:tcPr>
            <w:tcW w:w="800" w:type="dxa"/>
            <w:noWrap/>
            <w:hideMark/>
          </w:tcPr>
          <w:p w14:paraId="115A0D8C" w14:textId="77777777" w:rsidR="001D111C" w:rsidRPr="00B03AD4" w:rsidRDefault="001D111C" w:rsidP="007209C2">
            <w:pPr>
              <w:pStyle w:val="Tabletext"/>
              <w:jc w:val="center"/>
              <w:rPr>
                <w:szCs w:val="18"/>
              </w:rPr>
            </w:pPr>
            <w:r w:rsidRPr="00B03AD4">
              <w:rPr>
                <w:szCs w:val="18"/>
              </w:rPr>
              <w:t>29.1</w:t>
            </w:r>
          </w:p>
        </w:tc>
        <w:tc>
          <w:tcPr>
            <w:tcW w:w="699" w:type="dxa"/>
            <w:noWrap/>
            <w:hideMark/>
          </w:tcPr>
          <w:p w14:paraId="46C660AB" w14:textId="77777777" w:rsidR="001D111C" w:rsidRPr="00B03AD4" w:rsidRDefault="001D111C" w:rsidP="007209C2">
            <w:pPr>
              <w:pStyle w:val="Tabletext"/>
              <w:jc w:val="center"/>
              <w:rPr>
                <w:szCs w:val="18"/>
              </w:rPr>
            </w:pPr>
            <w:r w:rsidRPr="00B03AD4">
              <w:rPr>
                <w:szCs w:val="18"/>
              </w:rPr>
              <w:t>19.7</w:t>
            </w:r>
          </w:p>
        </w:tc>
        <w:tc>
          <w:tcPr>
            <w:tcW w:w="699" w:type="dxa"/>
            <w:noWrap/>
            <w:hideMark/>
          </w:tcPr>
          <w:p w14:paraId="43774B6D" w14:textId="77777777" w:rsidR="001D111C" w:rsidRPr="00B03AD4" w:rsidRDefault="001D111C" w:rsidP="007209C2">
            <w:pPr>
              <w:pStyle w:val="Tabletext"/>
              <w:jc w:val="center"/>
              <w:rPr>
                <w:szCs w:val="18"/>
              </w:rPr>
            </w:pPr>
            <w:r w:rsidRPr="00B03AD4">
              <w:rPr>
                <w:szCs w:val="18"/>
              </w:rPr>
              <w:t>5.4</w:t>
            </w:r>
          </w:p>
        </w:tc>
        <w:tc>
          <w:tcPr>
            <w:tcW w:w="1050" w:type="dxa"/>
            <w:noWrap/>
            <w:hideMark/>
          </w:tcPr>
          <w:p w14:paraId="52955D21" w14:textId="77777777" w:rsidR="001D111C" w:rsidRPr="00B03AD4" w:rsidRDefault="001D111C" w:rsidP="007209C2">
            <w:pPr>
              <w:pStyle w:val="Tabletext"/>
              <w:jc w:val="center"/>
              <w:rPr>
                <w:szCs w:val="18"/>
              </w:rPr>
            </w:pPr>
            <w:r w:rsidRPr="00B03AD4">
              <w:rPr>
                <w:szCs w:val="18"/>
              </w:rPr>
              <w:t>54.2</w:t>
            </w:r>
          </w:p>
        </w:tc>
      </w:tr>
      <w:tr w:rsidR="001D111C" w:rsidRPr="00B03AD4" w14:paraId="2A21C35C" w14:textId="77777777" w:rsidTr="00686A50">
        <w:trPr>
          <w:trHeight w:val="265"/>
        </w:trPr>
        <w:tc>
          <w:tcPr>
            <w:tcW w:w="4673" w:type="dxa"/>
            <w:noWrap/>
            <w:hideMark/>
          </w:tcPr>
          <w:p w14:paraId="13B76612" w14:textId="77777777" w:rsidR="001D111C" w:rsidRPr="00B03AD4" w:rsidRDefault="001D111C" w:rsidP="007209C2">
            <w:pPr>
              <w:pStyle w:val="Tabletext"/>
              <w:rPr>
                <w:szCs w:val="18"/>
              </w:rPr>
            </w:pPr>
            <w:r w:rsidRPr="00B03AD4">
              <w:rPr>
                <w:szCs w:val="18"/>
              </w:rPr>
              <w:t>Farm Income Enhancement and Forestry Conservation Programme project 2</w:t>
            </w:r>
          </w:p>
        </w:tc>
        <w:tc>
          <w:tcPr>
            <w:tcW w:w="800" w:type="dxa"/>
            <w:noWrap/>
            <w:hideMark/>
          </w:tcPr>
          <w:p w14:paraId="7DD384F2" w14:textId="77777777" w:rsidR="001D111C" w:rsidRPr="00B03AD4" w:rsidRDefault="001D111C" w:rsidP="007209C2">
            <w:pPr>
              <w:pStyle w:val="Tabletext"/>
              <w:jc w:val="center"/>
              <w:rPr>
                <w:szCs w:val="18"/>
              </w:rPr>
            </w:pPr>
            <w:r w:rsidRPr="00B03AD4">
              <w:rPr>
                <w:szCs w:val="18"/>
              </w:rPr>
              <w:t>11.1</w:t>
            </w:r>
          </w:p>
        </w:tc>
        <w:tc>
          <w:tcPr>
            <w:tcW w:w="699" w:type="dxa"/>
            <w:noWrap/>
            <w:hideMark/>
          </w:tcPr>
          <w:p w14:paraId="36A031E6" w14:textId="77777777" w:rsidR="001D111C" w:rsidRPr="00B03AD4" w:rsidRDefault="001D111C" w:rsidP="007209C2">
            <w:pPr>
              <w:pStyle w:val="Tabletext"/>
              <w:jc w:val="center"/>
              <w:rPr>
                <w:szCs w:val="18"/>
              </w:rPr>
            </w:pPr>
            <w:r w:rsidRPr="00B03AD4">
              <w:rPr>
                <w:szCs w:val="18"/>
              </w:rPr>
              <w:t>21.6</w:t>
            </w:r>
          </w:p>
        </w:tc>
        <w:tc>
          <w:tcPr>
            <w:tcW w:w="699" w:type="dxa"/>
            <w:noWrap/>
            <w:hideMark/>
          </w:tcPr>
          <w:p w14:paraId="3AA7134E" w14:textId="77777777" w:rsidR="001D111C" w:rsidRPr="00B03AD4" w:rsidRDefault="001D111C" w:rsidP="007209C2">
            <w:pPr>
              <w:pStyle w:val="Tabletext"/>
              <w:jc w:val="center"/>
              <w:rPr>
                <w:szCs w:val="18"/>
              </w:rPr>
            </w:pPr>
            <w:r w:rsidRPr="00B03AD4">
              <w:rPr>
                <w:szCs w:val="18"/>
              </w:rPr>
              <w:t>11.6</w:t>
            </w:r>
          </w:p>
        </w:tc>
        <w:tc>
          <w:tcPr>
            <w:tcW w:w="1050" w:type="dxa"/>
            <w:noWrap/>
            <w:hideMark/>
          </w:tcPr>
          <w:p w14:paraId="369C6D81" w14:textId="77777777" w:rsidR="001D111C" w:rsidRPr="00B03AD4" w:rsidRDefault="001D111C" w:rsidP="007209C2">
            <w:pPr>
              <w:pStyle w:val="Tabletext"/>
              <w:jc w:val="center"/>
              <w:rPr>
                <w:szCs w:val="18"/>
              </w:rPr>
            </w:pPr>
            <w:r w:rsidRPr="00B03AD4">
              <w:rPr>
                <w:szCs w:val="18"/>
              </w:rPr>
              <w:t>44.3</w:t>
            </w:r>
          </w:p>
        </w:tc>
      </w:tr>
      <w:tr w:rsidR="001D111C" w:rsidRPr="00B03AD4" w14:paraId="0C7E9012" w14:textId="77777777" w:rsidTr="00686A50">
        <w:trPr>
          <w:trHeight w:val="265"/>
        </w:trPr>
        <w:tc>
          <w:tcPr>
            <w:tcW w:w="4673" w:type="dxa"/>
            <w:noWrap/>
            <w:hideMark/>
          </w:tcPr>
          <w:p w14:paraId="6C505D90" w14:textId="77777777" w:rsidR="001D111C" w:rsidRPr="00B03AD4" w:rsidRDefault="001D111C" w:rsidP="007209C2">
            <w:pPr>
              <w:pStyle w:val="Tabletext"/>
              <w:rPr>
                <w:szCs w:val="18"/>
              </w:rPr>
            </w:pPr>
            <w:r w:rsidRPr="00B03AD4">
              <w:rPr>
                <w:szCs w:val="18"/>
              </w:rPr>
              <w:t>Road Sector Support Project V</w:t>
            </w:r>
          </w:p>
        </w:tc>
        <w:tc>
          <w:tcPr>
            <w:tcW w:w="800" w:type="dxa"/>
            <w:noWrap/>
            <w:hideMark/>
          </w:tcPr>
          <w:p w14:paraId="62223F8B" w14:textId="77777777" w:rsidR="001D111C" w:rsidRPr="00B03AD4" w:rsidRDefault="001D111C" w:rsidP="007209C2">
            <w:pPr>
              <w:pStyle w:val="Tabletext"/>
              <w:jc w:val="center"/>
              <w:rPr>
                <w:szCs w:val="18"/>
              </w:rPr>
            </w:pPr>
            <w:r w:rsidRPr="00B03AD4">
              <w:rPr>
                <w:szCs w:val="18"/>
              </w:rPr>
              <w:t>14.1</w:t>
            </w:r>
          </w:p>
        </w:tc>
        <w:tc>
          <w:tcPr>
            <w:tcW w:w="699" w:type="dxa"/>
            <w:noWrap/>
            <w:hideMark/>
          </w:tcPr>
          <w:p w14:paraId="56EC966E" w14:textId="77777777" w:rsidR="001D111C" w:rsidRPr="00B03AD4" w:rsidRDefault="001D111C" w:rsidP="007209C2">
            <w:pPr>
              <w:pStyle w:val="Tabletext"/>
              <w:jc w:val="center"/>
              <w:rPr>
                <w:szCs w:val="18"/>
              </w:rPr>
            </w:pPr>
            <w:r w:rsidRPr="00B03AD4">
              <w:rPr>
                <w:szCs w:val="18"/>
              </w:rPr>
              <w:t>11.2</w:t>
            </w:r>
          </w:p>
        </w:tc>
        <w:tc>
          <w:tcPr>
            <w:tcW w:w="699" w:type="dxa"/>
            <w:noWrap/>
            <w:hideMark/>
          </w:tcPr>
          <w:p w14:paraId="4D53D91F" w14:textId="77777777" w:rsidR="001D111C" w:rsidRPr="00B03AD4" w:rsidRDefault="001D111C" w:rsidP="007209C2">
            <w:pPr>
              <w:pStyle w:val="Tabletext"/>
              <w:jc w:val="center"/>
              <w:rPr>
                <w:szCs w:val="18"/>
              </w:rPr>
            </w:pPr>
            <w:r w:rsidRPr="00B03AD4">
              <w:rPr>
                <w:szCs w:val="18"/>
              </w:rPr>
              <w:t>10.8</w:t>
            </w:r>
          </w:p>
        </w:tc>
        <w:tc>
          <w:tcPr>
            <w:tcW w:w="1050" w:type="dxa"/>
            <w:noWrap/>
            <w:hideMark/>
          </w:tcPr>
          <w:p w14:paraId="24BD47F7" w14:textId="77777777" w:rsidR="001D111C" w:rsidRPr="00B03AD4" w:rsidRDefault="001D111C" w:rsidP="007209C2">
            <w:pPr>
              <w:pStyle w:val="Tabletext"/>
              <w:jc w:val="center"/>
              <w:rPr>
                <w:szCs w:val="18"/>
              </w:rPr>
            </w:pPr>
            <w:r w:rsidRPr="00B03AD4">
              <w:rPr>
                <w:szCs w:val="18"/>
              </w:rPr>
              <w:t>36.1</w:t>
            </w:r>
          </w:p>
        </w:tc>
      </w:tr>
      <w:tr w:rsidR="001D111C" w:rsidRPr="00B03AD4" w14:paraId="08194C68" w14:textId="77777777" w:rsidTr="00686A50">
        <w:trPr>
          <w:trHeight w:val="265"/>
        </w:trPr>
        <w:tc>
          <w:tcPr>
            <w:tcW w:w="4673" w:type="dxa"/>
            <w:noWrap/>
            <w:hideMark/>
          </w:tcPr>
          <w:p w14:paraId="6E69C4FF" w14:textId="77777777" w:rsidR="001D111C" w:rsidRPr="00B03AD4" w:rsidRDefault="001D111C" w:rsidP="007209C2">
            <w:pPr>
              <w:pStyle w:val="Tabletext"/>
              <w:rPr>
                <w:szCs w:val="18"/>
              </w:rPr>
            </w:pPr>
            <w:r w:rsidRPr="00B03AD4">
              <w:rPr>
                <w:szCs w:val="18"/>
              </w:rPr>
              <w:t>Uganda Rural Electricity Access Project</w:t>
            </w:r>
          </w:p>
        </w:tc>
        <w:tc>
          <w:tcPr>
            <w:tcW w:w="800" w:type="dxa"/>
            <w:noWrap/>
            <w:hideMark/>
          </w:tcPr>
          <w:p w14:paraId="6AB76F42" w14:textId="77777777" w:rsidR="001D111C" w:rsidRPr="00B03AD4" w:rsidRDefault="001D111C" w:rsidP="007209C2">
            <w:pPr>
              <w:pStyle w:val="Tabletext"/>
              <w:jc w:val="center"/>
              <w:rPr>
                <w:szCs w:val="18"/>
              </w:rPr>
            </w:pPr>
            <w:r w:rsidRPr="00B03AD4">
              <w:rPr>
                <w:szCs w:val="18"/>
              </w:rPr>
              <w:t>3.5</w:t>
            </w:r>
          </w:p>
        </w:tc>
        <w:tc>
          <w:tcPr>
            <w:tcW w:w="699" w:type="dxa"/>
            <w:noWrap/>
            <w:hideMark/>
          </w:tcPr>
          <w:p w14:paraId="1A34244D" w14:textId="77777777" w:rsidR="001D111C" w:rsidRPr="00B03AD4" w:rsidRDefault="001D111C" w:rsidP="007209C2">
            <w:pPr>
              <w:pStyle w:val="Tabletext"/>
              <w:jc w:val="center"/>
              <w:rPr>
                <w:szCs w:val="18"/>
              </w:rPr>
            </w:pPr>
            <w:r w:rsidRPr="00B03AD4">
              <w:rPr>
                <w:szCs w:val="18"/>
              </w:rPr>
              <w:t>14.0</w:t>
            </w:r>
          </w:p>
        </w:tc>
        <w:tc>
          <w:tcPr>
            <w:tcW w:w="699" w:type="dxa"/>
            <w:noWrap/>
            <w:hideMark/>
          </w:tcPr>
          <w:p w14:paraId="5D6151F9" w14:textId="77777777" w:rsidR="001D111C" w:rsidRPr="00B03AD4" w:rsidRDefault="001D111C" w:rsidP="007209C2">
            <w:pPr>
              <w:pStyle w:val="Tabletext"/>
              <w:jc w:val="center"/>
              <w:rPr>
                <w:szCs w:val="18"/>
              </w:rPr>
            </w:pPr>
            <w:r w:rsidRPr="00B03AD4">
              <w:rPr>
                <w:szCs w:val="18"/>
              </w:rPr>
              <w:t>11.7</w:t>
            </w:r>
          </w:p>
        </w:tc>
        <w:tc>
          <w:tcPr>
            <w:tcW w:w="1050" w:type="dxa"/>
            <w:noWrap/>
            <w:hideMark/>
          </w:tcPr>
          <w:p w14:paraId="7992998A" w14:textId="77777777" w:rsidR="001D111C" w:rsidRPr="00B03AD4" w:rsidRDefault="001D111C" w:rsidP="007209C2">
            <w:pPr>
              <w:pStyle w:val="Tabletext"/>
              <w:jc w:val="center"/>
              <w:rPr>
                <w:szCs w:val="18"/>
              </w:rPr>
            </w:pPr>
            <w:r w:rsidRPr="00B03AD4">
              <w:rPr>
                <w:szCs w:val="18"/>
              </w:rPr>
              <w:t>29.2</w:t>
            </w:r>
          </w:p>
        </w:tc>
      </w:tr>
      <w:tr w:rsidR="001D111C" w:rsidRPr="00B03AD4" w14:paraId="2D7D4E56" w14:textId="77777777" w:rsidTr="00686A50">
        <w:trPr>
          <w:trHeight w:val="265"/>
        </w:trPr>
        <w:tc>
          <w:tcPr>
            <w:tcW w:w="4673" w:type="dxa"/>
            <w:noWrap/>
            <w:hideMark/>
          </w:tcPr>
          <w:p w14:paraId="4D94DC44" w14:textId="0FC6C120" w:rsidR="001D111C" w:rsidRPr="00B03AD4" w:rsidRDefault="001D111C" w:rsidP="007209C2">
            <w:pPr>
              <w:pStyle w:val="Tabletext"/>
              <w:rPr>
                <w:szCs w:val="18"/>
              </w:rPr>
            </w:pPr>
            <w:r w:rsidRPr="00B03AD4">
              <w:rPr>
                <w:szCs w:val="18"/>
              </w:rPr>
              <w:t>Supplementary Loan to Kampala Sanitation Program</w:t>
            </w:r>
            <w:r w:rsidR="001045D5">
              <w:rPr>
                <w:szCs w:val="18"/>
              </w:rPr>
              <w:t>me</w:t>
            </w:r>
          </w:p>
        </w:tc>
        <w:tc>
          <w:tcPr>
            <w:tcW w:w="800" w:type="dxa"/>
            <w:noWrap/>
            <w:hideMark/>
          </w:tcPr>
          <w:p w14:paraId="62D2F62A" w14:textId="77777777" w:rsidR="001D111C" w:rsidRPr="00B03AD4" w:rsidRDefault="001D111C" w:rsidP="007209C2">
            <w:pPr>
              <w:pStyle w:val="Tabletext"/>
              <w:jc w:val="center"/>
              <w:rPr>
                <w:szCs w:val="18"/>
              </w:rPr>
            </w:pPr>
            <w:r w:rsidRPr="00B03AD4">
              <w:rPr>
                <w:szCs w:val="18"/>
              </w:rPr>
              <w:t>14.4</w:t>
            </w:r>
          </w:p>
        </w:tc>
        <w:tc>
          <w:tcPr>
            <w:tcW w:w="699" w:type="dxa"/>
            <w:noWrap/>
            <w:hideMark/>
          </w:tcPr>
          <w:p w14:paraId="523AA4D0" w14:textId="77777777" w:rsidR="001D111C" w:rsidRPr="00B03AD4" w:rsidRDefault="001D111C" w:rsidP="007209C2">
            <w:pPr>
              <w:pStyle w:val="Tabletext"/>
              <w:jc w:val="center"/>
              <w:rPr>
                <w:szCs w:val="18"/>
              </w:rPr>
            </w:pPr>
            <w:r w:rsidRPr="00B03AD4">
              <w:rPr>
                <w:szCs w:val="18"/>
              </w:rPr>
              <w:t>7.0</w:t>
            </w:r>
          </w:p>
        </w:tc>
        <w:tc>
          <w:tcPr>
            <w:tcW w:w="699" w:type="dxa"/>
            <w:noWrap/>
            <w:hideMark/>
          </w:tcPr>
          <w:p w14:paraId="2ED1AD8F" w14:textId="77777777" w:rsidR="001D111C" w:rsidRPr="00B03AD4" w:rsidRDefault="001D111C" w:rsidP="007209C2">
            <w:pPr>
              <w:pStyle w:val="Tabletext"/>
              <w:jc w:val="center"/>
              <w:rPr>
                <w:szCs w:val="18"/>
              </w:rPr>
            </w:pPr>
            <w:r w:rsidRPr="00B03AD4">
              <w:rPr>
                <w:szCs w:val="18"/>
              </w:rPr>
              <w:t>3.3</w:t>
            </w:r>
          </w:p>
        </w:tc>
        <w:tc>
          <w:tcPr>
            <w:tcW w:w="1050" w:type="dxa"/>
            <w:noWrap/>
            <w:hideMark/>
          </w:tcPr>
          <w:p w14:paraId="3CFC134D" w14:textId="77777777" w:rsidR="001D111C" w:rsidRPr="00B03AD4" w:rsidRDefault="001D111C" w:rsidP="007209C2">
            <w:pPr>
              <w:pStyle w:val="Tabletext"/>
              <w:jc w:val="center"/>
              <w:rPr>
                <w:szCs w:val="18"/>
              </w:rPr>
            </w:pPr>
            <w:r w:rsidRPr="00B03AD4">
              <w:rPr>
                <w:szCs w:val="18"/>
              </w:rPr>
              <w:t>24.7</w:t>
            </w:r>
          </w:p>
        </w:tc>
      </w:tr>
      <w:tr w:rsidR="001D111C" w:rsidRPr="00B03AD4" w14:paraId="20B79DD2" w14:textId="77777777" w:rsidTr="00686A50">
        <w:trPr>
          <w:trHeight w:val="265"/>
        </w:trPr>
        <w:tc>
          <w:tcPr>
            <w:tcW w:w="4673" w:type="dxa"/>
            <w:noWrap/>
            <w:hideMark/>
          </w:tcPr>
          <w:p w14:paraId="3B32F928" w14:textId="77777777" w:rsidR="001D111C" w:rsidRPr="00B03AD4" w:rsidRDefault="001D111C" w:rsidP="007209C2">
            <w:pPr>
              <w:pStyle w:val="Tabletext"/>
              <w:rPr>
                <w:szCs w:val="18"/>
              </w:rPr>
            </w:pPr>
            <w:r w:rsidRPr="00B03AD4">
              <w:rPr>
                <w:szCs w:val="18"/>
              </w:rPr>
              <w:t>Road Sector Support Project IV</w:t>
            </w:r>
          </w:p>
        </w:tc>
        <w:tc>
          <w:tcPr>
            <w:tcW w:w="800" w:type="dxa"/>
            <w:noWrap/>
            <w:hideMark/>
          </w:tcPr>
          <w:p w14:paraId="2D8D4B0D" w14:textId="77777777" w:rsidR="001D111C" w:rsidRPr="00B03AD4" w:rsidRDefault="001D111C" w:rsidP="007209C2">
            <w:pPr>
              <w:pStyle w:val="Tabletext"/>
              <w:jc w:val="center"/>
              <w:rPr>
                <w:szCs w:val="18"/>
              </w:rPr>
            </w:pPr>
            <w:r w:rsidRPr="00B03AD4">
              <w:rPr>
                <w:szCs w:val="18"/>
              </w:rPr>
              <w:t>6.4</w:t>
            </w:r>
          </w:p>
        </w:tc>
        <w:tc>
          <w:tcPr>
            <w:tcW w:w="699" w:type="dxa"/>
            <w:noWrap/>
            <w:hideMark/>
          </w:tcPr>
          <w:p w14:paraId="2084EB32" w14:textId="77777777" w:rsidR="001D111C" w:rsidRPr="00B03AD4" w:rsidRDefault="001D111C" w:rsidP="007209C2">
            <w:pPr>
              <w:pStyle w:val="Tabletext"/>
              <w:jc w:val="center"/>
              <w:rPr>
                <w:szCs w:val="18"/>
              </w:rPr>
            </w:pPr>
            <w:r w:rsidRPr="00B03AD4">
              <w:rPr>
                <w:szCs w:val="18"/>
              </w:rPr>
              <w:t>7.8</w:t>
            </w:r>
          </w:p>
        </w:tc>
        <w:tc>
          <w:tcPr>
            <w:tcW w:w="699" w:type="dxa"/>
            <w:noWrap/>
            <w:hideMark/>
          </w:tcPr>
          <w:p w14:paraId="263F9CDB" w14:textId="77777777" w:rsidR="001D111C" w:rsidRPr="00B03AD4" w:rsidRDefault="001D111C" w:rsidP="007209C2">
            <w:pPr>
              <w:pStyle w:val="Tabletext"/>
              <w:jc w:val="center"/>
              <w:rPr>
                <w:szCs w:val="18"/>
              </w:rPr>
            </w:pPr>
            <w:r w:rsidRPr="00B03AD4">
              <w:rPr>
                <w:szCs w:val="18"/>
              </w:rPr>
              <w:t>10.1</w:t>
            </w:r>
          </w:p>
        </w:tc>
        <w:tc>
          <w:tcPr>
            <w:tcW w:w="1050" w:type="dxa"/>
            <w:noWrap/>
            <w:hideMark/>
          </w:tcPr>
          <w:p w14:paraId="7171402B" w14:textId="77777777" w:rsidR="001D111C" w:rsidRPr="00B03AD4" w:rsidRDefault="001D111C" w:rsidP="007209C2">
            <w:pPr>
              <w:pStyle w:val="Tabletext"/>
              <w:jc w:val="center"/>
              <w:rPr>
                <w:szCs w:val="18"/>
              </w:rPr>
            </w:pPr>
            <w:r w:rsidRPr="00B03AD4">
              <w:rPr>
                <w:szCs w:val="18"/>
              </w:rPr>
              <w:t>24.3</w:t>
            </w:r>
          </w:p>
        </w:tc>
      </w:tr>
      <w:tr w:rsidR="001D111C" w:rsidRPr="00B03AD4" w14:paraId="347FE1F7" w14:textId="77777777" w:rsidTr="00686A50">
        <w:trPr>
          <w:trHeight w:val="265"/>
        </w:trPr>
        <w:tc>
          <w:tcPr>
            <w:tcW w:w="4673" w:type="dxa"/>
            <w:noWrap/>
            <w:hideMark/>
          </w:tcPr>
          <w:p w14:paraId="3F2E3FDB" w14:textId="77777777" w:rsidR="001D111C" w:rsidRPr="00B03AD4" w:rsidRDefault="001D111C" w:rsidP="007209C2">
            <w:pPr>
              <w:pStyle w:val="Tabletext"/>
              <w:rPr>
                <w:szCs w:val="18"/>
              </w:rPr>
            </w:pPr>
            <w:r w:rsidRPr="00B03AD4">
              <w:rPr>
                <w:szCs w:val="18"/>
              </w:rPr>
              <w:t>Improvement of Health Services Delivery at Mulago Hospital and in the City of Kampala Project</w:t>
            </w:r>
          </w:p>
        </w:tc>
        <w:tc>
          <w:tcPr>
            <w:tcW w:w="800" w:type="dxa"/>
            <w:noWrap/>
            <w:hideMark/>
          </w:tcPr>
          <w:p w14:paraId="6C5481BB" w14:textId="77777777" w:rsidR="001D111C" w:rsidRPr="00B03AD4" w:rsidRDefault="001D111C" w:rsidP="007209C2">
            <w:pPr>
              <w:pStyle w:val="Tabletext"/>
              <w:jc w:val="center"/>
              <w:rPr>
                <w:szCs w:val="18"/>
              </w:rPr>
            </w:pPr>
            <w:r w:rsidRPr="00B03AD4">
              <w:rPr>
                <w:szCs w:val="18"/>
              </w:rPr>
              <w:t>14.7</w:t>
            </w:r>
          </w:p>
        </w:tc>
        <w:tc>
          <w:tcPr>
            <w:tcW w:w="699" w:type="dxa"/>
            <w:noWrap/>
            <w:hideMark/>
          </w:tcPr>
          <w:p w14:paraId="0101E696" w14:textId="77777777" w:rsidR="001D111C" w:rsidRPr="00B03AD4" w:rsidRDefault="001D111C" w:rsidP="007209C2">
            <w:pPr>
              <w:pStyle w:val="Tabletext"/>
              <w:jc w:val="center"/>
              <w:rPr>
                <w:szCs w:val="18"/>
              </w:rPr>
            </w:pPr>
            <w:r w:rsidRPr="00B03AD4">
              <w:rPr>
                <w:szCs w:val="18"/>
              </w:rPr>
              <w:t>1.8</w:t>
            </w:r>
          </w:p>
        </w:tc>
        <w:tc>
          <w:tcPr>
            <w:tcW w:w="699" w:type="dxa"/>
            <w:noWrap/>
            <w:hideMark/>
          </w:tcPr>
          <w:p w14:paraId="40F7C183" w14:textId="77777777" w:rsidR="001D111C" w:rsidRPr="00B03AD4" w:rsidRDefault="001D111C" w:rsidP="007209C2">
            <w:pPr>
              <w:pStyle w:val="Tabletext"/>
              <w:jc w:val="center"/>
              <w:rPr>
                <w:szCs w:val="18"/>
              </w:rPr>
            </w:pPr>
            <w:r w:rsidRPr="00B03AD4">
              <w:rPr>
                <w:szCs w:val="18"/>
              </w:rPr>
              <w:t>2.4</w:t>
            </w:r>
          </w:p>
        </w:tc>
        <w:tc>
          <w:tcPr>
            <w:tcW w:w="1050" w:type="dxa"/>
            <w:noWrap/>
            <w:hideMark/>
          </w:tcPr>
          <w:p w14:paraId="7BC7A131" w14:textId="77777777" w:rsidR="001D111C" w:rsidRPr="00B03AD4" w:rsidRDefault="001D111C" w:rsidP="007209C2">
            <w:pPr>
              <w:pStyle w:val="Tabletext"/>
              <w:jc w:val="center"/>
              <w:rPr>
                <w:szCs w:val="18"/>
              </w:rPr>
            </w:pPr>
            <w:r w:rsidRPr="00B03AD4">
              <w:rPr>
                <w:szCs w:val="18"/>
              </w:rPr>
              <w:t>19.0</w:t>
            </w:r>
          </w:p>
        </w:tc>
      </w:tr>
      <w:tr w:rsidR="001D111C" w:rsidRPr="00B03AD4" w14:paraId="4BEA8010" w14:textId="77777777" w:rsidTr="00686A50">
        <w:trPr>
          <w:trHeight w:val="265"/>
        </w:trPr>
        <w:tc>
          <w:tcPr>
            <w:tcW w:w="4673" w:type="dxa"/>
            <w:noWrap/>
            <w:hideMark/>
          </w:tcPr>
          <w:p w14:paraId="290CA2AA" w14:textId="77777777" w:rsidR="001D111C" w:rsidRPr="00B03AD4" w:rsidRDefault="001D111C" w:rsidP="007209C2">
            <w:pPr>
              <w:pStyle w:val="Tabletext"/>
              <w:rPr>
                <w:szCs w:val="18"/>
              </w:rPr>
            </w:pPr>
            <w:r w:rsidRPr="00B03AD4">
              <w:rPr>
                <w:szCs w:val="18"/>
              </w:rPr>
              <w:t>Strategic Towns Water Supply and Sanitation Project</w:t>
            </w:r>
          </w:p>
        </w:tc>
        <w:tc>
          <w:tcPr>
            <w:tcW w:w="800" w:type="dxa"/>
            <w:noWrap/>
            <w:hideMark/>
          </w:tcPr>
          <w:p w14:paraId="64C916BE" w14:textId="77777777" w:rsidR="001D111C" w:rsidRPr="00B03AD4" w:rsidRDefault="001D111C" w:rsidP="007209C2">
            <w:pPr>
              <w:pStyle w:val="Tabletext"/>
              <w:jc w:val="center"/>
              <w:rPr>
                <w:szCs w:val="18"/>
              </w:rPr>
            </w:pPr>
          </w:p>
        </w:tc>
        <w:tc>
          <w:tcPr>
            <w:tcW w:w="699" w:type="dxa"/>
            <w:noWrap/>
            <w:hideMark/>
          </w:tcPr>
          <w:p w14:paraId="117A5FB4" w14:textId="77777777" w:rsidR="001D111C" w:rsidRPr="00B03AD4" w:rsidRDefault="001D111C" w:rsidP="007209C2">
            <w:pPr>
              <w:pStyle w:val="Tabletext"/>
              <w:jc w:val="center"/>
              <w:rPr>
                <w:szCs w:val="18"/>
              </w:rPr>
            </w:pPr>
            <w:r w:rsidRPr="00B03AD4">
              <w:rPr>
                <w:szCs w:val="18"/>
              </w:rPr>
              <w:t>1.8</w:t>
            </w:r>
          </w:p>
        </w:tc>
        <w:tc>
          <w:tcPr>
            <w:tcW w:w="699" w:type="dxa"/>
            <w:noWrap/>
            <w:hideMark/>
          </w:tcPr>
          <w:p w14:paraId="1EB6265A" w14:textId="77777777" w:rsidR="001D111C" w:rsidRPr="00B03AD4" w:rsidRDefault="001D111C" w:rsidP="007209C2">
            <w:pPr>
              <w:pStyle w:val="Tabletext"/>
              <w:jc w:val="center"/>
              <w:rPr>
                <w:szCs w:val="18"/>
              </w:rPr>
            </w:pPr>
            <w:r w:rsidRPr="00B03AD4">
              <w:rPr>
                <w:szCs w:val="18"/>
              </w:rPr>
              <w:t>6.5</w:t>
            </w:r>
          </w:p>
        </w:tc>
        <w:tc>
          <w:tcPr>
            <w:tcW w:w="1050" w:type="dxa"/>
            <w:noWrap/>
            <w:hideMark/>
          </w:tcPr>
          <w:p w14:paraId="4CEA19BF" w14:textId="77777777" w:rsidR="001D111C" w:rsidRPr="00B03AD4" w:rsidRDefault="001D111C" w:rsidP="007209C2">
            <w:pPr>
              <w:pStyle w:val="Tabletext"/>
              <w:jc w:val="center"/>
              <w:rPr>
                <w:szCs w:val="18"/>
              </w:rPr>
            </w:pPr>
            <w:r w:rsidRPr="00B03AD4">
              <w:rPr>
                <w:szCs w:val="18"/>
              </w:rPr>
              <w:t>8.3</w:t>
            </w:r>
          </w:p>
        </w:tc>
      </w:tr>
      <w:tr w:rsidR="001D111C" w:rsidRPr="00B03AD4" w14:paraId="5560989B" w14:textId="77777777" w:rsidTr="00686A50">
        <w:trPr>
          <w:trHeight w:val="265"/>
        </w:trPr>
        <w:tc>
          <w:tcPr>
            <w:tcW w:w="4673" w:type="dxa"/>
            <w:noWrap/>
            <w:hideMark/>
          </w:tcPr>
          <w:p w14:paraId="7E3FD12E" w14:textId="77777777" w:rsidR="001D111C" w:rsidRPr="00B03AD4" w:rsidRDefault="001D111C" w:rsidP="007209C2">
            <w:pPr>
              <w:pStyle w:val="Tabletext"/>
              <w:rPr>
                <w:szCs w:val="18"/>
              </w:rPr>
            </w:pPr>
            <w:r w:rsidRPr="00B03AD4">
              <w:rPr>
                <w:szCs w:val="18"/>
              </w:rPr>
              <w:t>The Kampala Sanitation Programme – Phase I</w:t>
            </w:r>
          </w:p>
        </w:tc>
        <w:tc>
          <w:tcPr>
            <w:tcW w:w="800" w:type="dxa"/>
            <w:noWrap/>
            <w:hideMark/>
          </w:tcPr>
          <w:p w14:paraId="7148DD13" w14:textId="77777777" w:rsidR="001D111C" w:rsidRPr="00B03AD4" w:rsidRDefault="001D111C" w:rsidP="007209C2">
            <w:pPr>
              <w:pStyle w:val="Tabletext"/>
              <w:jc w:val="center"/>
              <w:rPr>
                <w:szCs w:val="18"/>
              </w:rPr>
            </w:pPr>
            <w:r w:rsidRPr="00B03AD4">
              <w:rPr>
                <w:szCs w:val="18"/>
              </w:rPr>
              <w:t>3.2</w:t>
            </w:r>
          </w:p>
        </w:tc>
        <w:tc>
          <w:tcPr>
            <w:tcW w:w="699" w:type="dxa"/>
            <w:noWrap/>
            <w:hideMark/>
          </w:tcPr>
          <w:p w14:paraId="13561C6A" w14:textId="77777777" w:rsidR="001D111C" w:rsidRPr="00B03AD4" w:rsidRDefault="001D111C" w:rsidP="007209C2">
            <w:pPr>
              <w:pStyle w:val="Tabletext"/>
              <w:jc w:val="center"/>
              <w:rPr>
                <w:szCs w:val="18"/>
              </w:rPr>
            </w:pPr>
            <w:r w:rsidRPr="00B03AD4">
              <w:rPr>
                <w:szCs w:val="18"/>
              </w:rPr>
              <w:t>0.1</w:t>
            </w:r>
          </w:p>
        </w:tc>
        <w:tc>
          <w:tcPr>
            <w:tcW w:w="699" w:type="dxa"/>
            <w:noWrap/>
            <w:hideMark/>
          </w:tcPr>
          <w:p w14:paraId="698CC162" w14:textId="77777777" w:rsidR="001D111C" w:rsidRPr="00B03AD4" w:rsidRDefault="001D111C" w:rsidP="007209C2">
            <w:pPr>
              <w:pStyle w:val="Tabletext"/>
              <w:jc w:val="center"/>
              <w:rPr>
                <w:szCs w:val="18"/>
              </w:rPr>
            </w:pPr>
            <w:r w:rsidRPr="00B03AD4">
              <w:rPr>
                <w:szCs w:val="18"/>
              </w:rPr>
              <w:t>0.0</w:t>
            </w:r>
          </w:p>
        </w:tc>
        <w:tc>
          <w:tcPr>
            <w:tcW w:w="1050" w:type="dxa"/>
            <w:noWrap/>
            <w:hideMark/>
          </w:tcPr>
          <w:p w14:paraId="57E3B341" w14:textId="77777777" w:rsidR="001D111C" w:rsidRPr="00B03AD4" w:rsidRDefault="001D111C" w:rsidP="007209C2">
            <w:pPr>
              <w:pStyle w:val="Tabletext"/>
              <w:jc w:val="center"/>
              <w:rPr>
                <w:szCs w:val="18"/>
              </w:rPr>
            </w:pPr>
            <w:r w:rsidRPr="00B03AD4">
              <w:rPr>
                <w:szCs w:val="18"/>
              </w:rPr>
              <w:t>3.2</w:t>
            </w:r>
          </w:p>
        </w:tc>
      </w:tr>
      <w:tr w:rsidR="001D111C" w:rsidRPr="00B03AD4" w14:paraId="483E85BB" w14:textId="77777777" w:rsidTr="00686A50">
        <w:trPr>
          <w:trHeight w:val="265"/>
        </w:trPr>
        <w:tc>
          <w:tcPr>
            <w:tcW w:w="4673" w:type="dxa"/>
            <w:noWrap/>
            <w:hideMark/>
          </w:tcPr>
          <w:p w14:paraId="75CB63E6" w14:textId="77777777" w:rsidR="001D111C" w:rsidRPr="00B03AD4" w:rsidRDefault="001D111C" w:rsidP="007209C2">
            <w:pPr>
              <w:pStyle w:val="Tabletext"/>
              <w:rPr>
                <w:szCs w:val="18"/>
              </w:rPr>
            </w:pPr>
            <w:r w:rsidRPr="00B03AD4">
              <w:rPr>
                <w:szCs w:val="18"/>
              </w:rPr>
              <w:t xml:space="preserve">The Mbarara </w:t>
            </w:r>
            <w:proofErr w:type="spellStart"/>
            <w:r w:rsidRPr="00B03AD4">
              <w:rPr>
                <w:szCs w:val="18"/>
              </w:rPr>
              <w:t>Nkenda</w:t>
            </w:r>
            <w:proofErr w:type="spellEnd"/>
            <w:r w:rsidRPr="00B03AD4">
              <w:rPr>
                <w:szCs w:val="18"/>
              </w:rPr>
              <w:t xml:space="preserve"> &amp; Tororo Lira Power Transmission Lines Project</w:t>
            </w:r>
          </w:p>
        </w:tc>
        <w:tc>
          <w:tcPr>
            <w:tcW w:w="800" w:type="dxa"/>
            <w:noWrap/>
            <w:hideMark/>
          </w:tcPr>
          <w:p w14:paraId="16C4567C" w14:textId="77777777" w:rsidR="001D111C" w:rsidRPr="00B03AD4" w:rsidRDefault="001D111C" w:rsidP="007209C2">
            <w:pPr>
              <w:pStyle w:val="Tabletext"/>
              <w:jc w:val="center"/>
              <w:rPr>
                <w:szCs w:val="18"/>
              </w:rPr>
            </w:pPr>
            <w:r w:rsidRPr="00B03AD4">
              <w:rPr>
                <w:szCs w:val="18"/>
              </w:rPr>
              <w:t>2.0</w:t>
            </w:r>
          </w:p>
        </w:tc>
        <w:tc>
          <w:tcPr>
            <w:tcW w:w="699" w:type="dxa"/>
            <w:noWrap/>
            <w:hideMark/>
          </w:tcPr>
          <w:p w14:paraId="05368421" w14:textId="77777777" w:rsidR="001D111C" w:rsidRPr="00B03AD4" w:rsidRDefault="001D111C" w:rsidP="007209C2">
            <w:pPr>
              <w:pStyle w:val="Tabletext"/>
              <w:jc w:val="center"/>
              <w:rPr>
                <w:szCs w:val="18"/>
              </w:rPr>
            </w:pPr>
          </w:p>
        </w:tc>
        <w:tc>
          <w:tcPr>
            <w:tcW w:w="699" w:type="dxa"/>
            <w:noWrap/>
            <w:hideMark/>
          </w:tcPr>
          <w:p w14:paraId="1777987E" w14:textId="77777777" w:rsidR="001D111C" w:rsidRPr="00B03AD4" w:rsidRDefault="001D111C" w:rsidP="007209C2">
            <w:pPr>
              <w:pStyle w:val="Tabletext"/>
              <w:jc w:val="center"/>
              <w:rPr>
                <w:rFonts w:ascii="Times New Roman" w:hAnsi="Times New Roman" w:cs="Times New Roman"/>
                <w:color w:val="auto"/>
                <w:szCs w:val="18"/>
              </w:rPr>
            </w:pPr>
          </w:p>
        </w:tc>
        <w:tc>
          <w:tcPr>
            <w:tcW w:w="1050" w:type="dxa"/>
            <w:noWrap/>
            <w:hideMark/>
          </w:tcPr>
          <w:p w14:paraId="6221DD95" w14:textId="77777777" w:rsidR="001D111C" w:rsidRPr="00B03AD4" w:rsidRDefault="001D111C" w:rsidP="007209C2">
            <w:pPr>
              <w:pStyle w:val="Tabletext"/>
              <w:jc w:val="center"/>
              <w:rPr>
                <w:szCs w:val="18"/>
              </w:rPr>
            </w:pPr>
            <w:r w:rsidRPr="00B03AD4">
              <w:rPr>
                <w:szCs w:val="18"/>
              </w:rPr>
              <w:t>2.0</w:t>
            </w:r>
          </w:p>
        </w:tc>
      </w:tr>
      <w:tr w:rsidR="001D111C" w:rsidRPr="00B03AD4" w14:paraId="206604F8" w14:textId="77777777" w:rsidTr="00686A50">
        <w:trPr>
          <w:trHeight w:val="265"/>
        </w:trPr>
        <w:tc>
          <w:tcPr>
            <w:tcW w:w="4673" w:type="dxa"/>
            <w:noWrap/>
            <w:hideMark/>
          </w:tcPr>
          <w:p w14:paraId="219D204A" w14:textId="77777777" w:rsidR="001D111C" w:rsidRPr="00B03AD4" w:rsidRDefault="001D111C" w:rsidP="007209C2">
            <w:pPr>
              <w:pStyle w:val="Tabletext"/>
              <w:rPr>
                <w:szCs w:val="18"/>
              </w:rPr>
            </w:pPr>
            <w:r w:rsidRPr="00B03AD4">
              <w:rPr>
                <w:szCs w:val="18"/>
              </w:rPr>
              <w:t>Agricultural Value Chain Development Programme Project 1</w:t>
            </w:r>
          </w:p>
        </w:tc>
        <w:tc>
          <w:tcPr>
            <w:tcW w:w="800" w:type="dxa"/>
            <w:noWrap/>
            <w:hideMark/>
          </w:tcPr>
          <w:p w14:paraId="23EC8A0E" w14:textId="77777777" w:rsidR="001D111C" w:rsidRPr="00B03AD4" w:rsidRDefault="001D111C" w:rsidP="007209C2">
            <w:pPr>
              <w:pStyle w:val="Tabletext"/>
              <w:jc w:val="center"/>
              <w:rPr>
                <w:szCs w:val="18"/>
              </w:rPr>
            </w:pPr>
          </w:p>
        </w:tc>
        <w:tc>
          <w:tcPr>
            <w:tcW w:w="699" w:type="dxa"/>
            <w:noWrap/>
            <w:hideMark/>
          </w:tcPr>
          <w:p w14:paraId="44790664" w14:textId="77777777" w:rsidR="001D111C" w:rsidRPr="00B03AD4" w:rsidRDefault="001D111C" w:rsidP="007209C2">
            <w:pPr>
              <w:pStyle w:val="Tabletext"/>
              <w:jc w:val="center"/>
              <w:rPr>
                <w:szCs w:val="18"/>
              </w:rPr>
            </w:pPr>
            <w:r w:rsidRPr="00B03AD4">
              <w:rPr>
                <w:szCs w:val="18"/>
              </w:rPr>
              <w:t>0.2</w:t>
            </w:r>
          </w:p>
        </w:tc>
        <w:tc>
          <w:tcPr>
            <w:tcW w:w="699" w:type="dxa"/>
            <w:noWrap/>
            <w:hideMark/>
          </w:tcPr>
          <w:p w14:paraId="71F6F2DB" w14:textId="77777777" w:rsidR="001D111C" w:rsidRPr="00B03AD4" w:rsidRDefault="001D111C" w:rsidP="007209C2">
            <w:pPr>
              <w:pStyle w:val="Tabletext"/>
              <w:jc w:val="center"/>
              <w:rPr>
                <w:szCs w:val="18"/>
              </w:rPr>
            </w:pPr>
            <w:r w:rsidRPr="00B03AD4">
              <w:rPr>
                <w:szCs w:val="18"/>
              </w:rPr>
              <w:t>1.5</w:t>
            </w:r>
          </w:p>
        </w:tc>
        <w:tc>
          <w:tcPr>
            <w:tcW w:w="1050" w:type="dxa"/>
            <w:noWrap/>
            <w:hideMark/>
          </w:tcPr>
          <w:p w14:paraId="29CFB52B" w14:textId="77777777" w:rsidR="001D111C" w:rsidRPr="00B03AD4" w:rsidRDefault="001D111C" w:rsidP="007209C2">
            <w:pPr>
              <w:pStyle w:val="Tabletext"/>
              <w:jc w:val="center"/>
              <w:rPr>
                <w:szCs w:val="18"/>
              </w:rPr>
            </w:pPr>
            <w:r w:rsidRPr="00B03AD4">
              <w:rPr>
                <w:szCs w:val="18"/>
              </w:rPr>
              <w:t>1.7</w:t>
            </w:r>
          </w:p>
        </w:tc>
      </w:tr>
      <w:tr w:rsidR="001D111C" w:rsidRPr="00B03AD4" w14:paraId="2D1D1053" w14:textId="77777777" w:rsidTr="00686A50">
        <w:trPr>
          <w:trHeight w:val="265"/>
        </w:trPr>
        <w:tc>
          <w:tcPr>
            <w:tcW w:w="4673" w:type="dxa"/>
            <w:noWrap/>
            <w:hideMark/>
          </w:tcPr>
          <w:p w14:paraId="04D9697A" w14:textId="77777777" w:rsidR="001D111C" w:rsidRPr="00B03AD4" w:rsidRDefault="001D111C" w:rsidP="007209C2">
            <w:pPr>
              <w:pStyle w:val="Tabletext"/>
              <w:rPr>
                <w:szCs w:val="18"/>
              </w:rPr>
            </w:pPr>
            <w:r w:rsidRPr="00B03AD4">
              <w:rPr>
                <w:szCs w:val="18"/>
              </w:rPr>
              <w:t>Community Agricultural Infrastructure</w:t>
            </w:r>
          </w:p>
        </w:tc>
        <w:tc>
          <w:tcPr>
            <w:tcW w:w="800" w:type="dxa"/>
            <w:noWrap/>
            <w:hideMark/>
          </w:tcPr>
          <w:p w14:paraId="23B01675" w14:textId="77777777" w:rsidR="001D111C" w:rsidRPr="00B03AD4" w:rsidRDefault="001D111C" w:rsidP="007209C2">
            <w:pPr>
              <w:pStyle w:val="Tabletext"/>
              <w:jc w:val="center"/>
              <w:rPr>
                <w:szCs w:val="18"/>
              </w:rPr>
            </w:pPr>
            <w:r w:rsidRPr="00B03AD4">
              <w:rPr>
                <w:szCs w:val="18"/>
              </w:rPr>
              <w:t>1.4</w:t>
            </w:r>
          </w:p>
        </w:tc>
        <w:tc>
          <w:tcPr>
            <w:tcW w:w="699" w:type="dxa"/>
            <w:noWrap/>
            <w:hideMark/>
          </w:tcPr>
          <w:p w14:paraId="355A55A1" w14:textId="77777777" w:rsidR="001D111C" w:rsidRPr="00B03AD4" w:rsidRDefault="001D111C" w:rsidP="007209C2">
            <w:pPr>
              <w:pStyle w:val="Tabletext"/>
              <w:jc w:val="center"/>
              <w:rPr>
                <w:szCs w:val="18"/>
              </w:rPr>
            </w:pPr>
          </w:p>
        </w:tc>
        <w:tc>
          <w:tcPr>
            <w:tcW w:w="699" w:type="dxa"/>
            <w:noWrap/>
            <w:hideMark/>
          </w:tcPr>
          <w:p w14:paraId="6593D422" w14:textId="77777777" w:rsidR="001D111C" w:rsidRPr="00B03AD4" w:rsidRDefault="001D111C" w:rsidP="007209C2">
            <w:pPr>
              <w:pStyle w:val="Tabletext"/>
              <w:jc w:val="center"/>
              <w:rPr>
                <w:rFonts w:ascii="Times New Roman" w:hAnsi="Times New Roman" w:cs="Times New Roman"/>
                <w:color w:val="auto"/>
                <w:szCs w:val="18"/>
              </w:rPr>
            </w:pPr>
          </w:p>
        </w:tc>
        <w:tc>
          <w:tcPr>
            <w:tcW w:w="1050" w:type="dxa"/>
            <w:noWrap/>
            <w:hideMark/>
          </w:tcPr>
          <w:p w14:paraId="733E039A" w14:textId="77777777" w:rsidR="001D111C" w:rsidRPr="00B03AD4" w:rsidRDefault="001D111C" w:rsidP="007209C2">
            <w:pPr>
              <w:pStyle w:val="Tabletext"/>
              <w:jc w:val="center"/>
              <w:rPr>
                <w:szCs w:val="18"/>
              </w:rPr>
            </w:pPr>
            <w:r w:rsidRPr="00B03AD4">
              <w:rPr>
                <w:szCs w:val="18"/>
              </w:rPr>
              <w:t>1.4</w:t>
            </w:r>
          </w:p>
        </w:tc>
      </w:tr>
      <w:tr w:rsidR="001D111C" w:rsidRPr="00B03AD4" w14:paraId="22DAAAA5" w14:textId="77777777" w:rsidTr="00686A50">
        <w:trPr>
          <w:trHeight w:val="265"/>
        </w:trPr>
        <w:tc>
          <w:tcPr>
            <w:tcW w:w="4673" w:type="dxa"/>
            <w:noWrap/>
            <w:hideMark/>
          </w:tcPr>
          <w:p w14:paraId="4F0810D9" w14:textId="77777777" w:rsidR="001D111C" w:rsidRPr="00B03AD4" w:rsidRDefault="001D111C" w:rsidP="007209C2">
            <w:pPr>
              <w:pStyle w:val="Tabletext"/>
              <w:rPr>
                <w:szCs w:val="18"/>
              </w:rPr>
            </w:pPr>
            <w:r w:rsidRPr="00B03AD4">
              <w:rPr>
                <w:szCs w:val="18"/>
              </w:rPr>
              <w:t>Water Supply and Sanitation Programme</w:t>
            </w:r>
          </w:p>
        </w:tc>
        <w:tc>
          <w:tcPr>
            <w:tcW w:w="800" w:type="dxa"/>
            <w:noWrap/>
            <w:hideMark/>
          </w:tcPr>
          <w:p w14:paraId="037B46BA" w14:textId="77777777" w:rsidR="001D111C" w:rsidRPr="00B03AD4" w:rsidRDefault="001D111C" w:rsidP="007209C2">
            <w:pPr>
              <w:pStyle w:val="Tabletext"/>
              <w:jc w:val="center"/>
              <w:rPr>
                <w:szCs w:val="18"/>
              </w:rPr>
            </w:pPr>
            <w:r w:rsidRPr="00B03AD4">
              <w:rPr>
                <w:szCs w:val="18"/>
              </w:rPr>
              <w:t>1.2</w:t>
            </w:r>
          </w:p>
        </w:tc>
        <w:tc>
          <w:tcPr>
            <w:tcW w:w="699" w:type="dxa"/>
            <w:noWrap/>
            <w:hideMark/>
          </w:tcPr>
          <w:p w14:paraId="2B5504A5" w14:textId="77777777" w:rsidR="001D111C" w:rsidRPr="00B03AD4" w:rsidRDefault="001D111C" w:rsidP="007209C2">
            <w:pPr>
              <w:pStyle w:val="Tabletext"/>
              <w:jc w:val="center"/>
              <w:rPr>
                <w:szCs w:val="18"/>
              </w:rPr>
            </w:pPr>
          </w:p>
        </w:tc>
        <w:tc>
          <w:tcPr>
            <w:tcW w:w="699" w:type="dxa"/>
            <w:noWrap/>
            <w:hideMark/>
          </w:tcPr>
          <w:p w14:paraId="779FF4D2" w14:textId="77777777" w:rsidR="001D111C" w:rsidRPr="00B03AD4" w:rsidRDefault="001D111C" w:rsidP="007209C2">
            <w:pPr>
              <w:pStyle w:val="Tabletext"/>
              <w:jc w:val="center"/>
              <w:rPr>
                <w:rFonts w:ascii="Times New Roman" w:hAnsi="Times New Roman" w:cs="Times New Roman"/>
                <w:color w:val="auto"/>
                <w:szCs w:val="18"/>
              </w:rPr>
            </w:pPr>
          </w:p>
        </w:tc>
        <w:tc>
          <w:tcPr>
            <w:tcW w:w="1050" w:type="dxa"/>
            <w:noWrap/>
            <w:hideMark/>
          </w:tcPr>
          <w:p w14:paraId="4E80160C" w14:textId="77777777" w:rsidR="001D111C" w:rsidRPr="00B03AD4" w:rsidRDefault="001D111C" w:rsidP="007209C2">
            <w:pPr>
              <w:pStyle w:val="Tabletext"/>
              <w:jc w:val="center"/>
              <w:rPr>
                <w:szCs w:val="18"/>
              </w:rPr>
            </w:pPr>
            <w:r w:rsidRPr="00B03AD4">
              <w:rPr>
                <w:szCs w:val="18"/>
              </w:rPr>
              <w:t>1.2</w:t>
            </w:r>
          </w:p>
        </w:tc>
      </w:tr>
      <w:tr w:rsidR="00F61F05" w:rsidRPr="00B03AD4" w14:paraId="47432783" w14:textId="77777777" w:rsidTr="00686A50">
        <w:trPr>
          <w:trHeight w:val="265"/>
        </w:trPr>
        <w:tc>
          <w:tcPr>
            <w:tcW w:w="4673" w:type="dxa"/>
            <w:noWrap/>
          </w:tcPr>
          <w:p w14:paraId="0C2C9035" w14:textId="444C01F4" w:rsidR="00F61F05" w:rsidRPr="00687691" w:rsidRDefault="00F61F05" w:rsidP="00F61F05">
            <w:pPr>
              <w:pStyle w:val="Tabletext"/>
              <w:rPr>
                <w:b/>
                <w:bCs/>
                <w:szCs w:val="18"/>
              </w:rPr>
            </w:pPr>
            <w:r w:rsidRPr="00687691">
              <w:rPr>
                <w:b/>
                <w:bCs/>
                <w:szCs w:val="18"/>
              </w:rPr>
              <w:t>Total</w:t>
            </w:r>
          </w:p>
        </w:tc>
        <w:tc>
          <w:tcPr>
            <w:tcW w:w="800" w:type="dxa"/>
            <w:noWrap/>
          </w:tcPr>
          <w:p w14:paraId="24A4F2EF" w14:textId="648350DA" w:rsidR="00F61F05" w:rsidRPr="00687691" w:rsidRDefault="00F61F05" w:rsidP="00F61F05">
            <w:pPr>
              <w:pStyle w:val="Tabletext"/>
              <w:jc w:val="center"/>
              <w:rPr>
                <w:b/>
                <w:bCs/>
                <w:szCs w:val="18"/>
              </w:rPr>
            </w:pPr>
            <w:r w:rsidRPr="00687691">
              <w:rPr>
                <w:b/>
                <w:bCs/>
                <w:szCs w:val="18"/>
              </w:rPr>
              <w:t>130.4</w:t>
            </w:r>
          </w:p>
        </w:tc>
        <w:tc>
          <w:tcPr>
            <w:tcW w:w="699" w:type="dxa"/>
            <w:noWrap/>
          </w:tcPr>
          <w:p w14:paraId="67087EB5" w14:textId="1CC1B1F6" w:rsidR="00F61F05" w:rsidRPr="00687691" w:rsidRDefault="00F61F05" w:rsidP="00F61F05">
            <w:pPr>
              <w:pStyle w:val="Tabletext"/>
              <w:jc w:val="center"/>
              <w:rPr>
                <w:b/>
                <w:bCs/>
                <w:szCs w:val="18"/>
              </w:rPr>
            </w:pPr>
            <w:r w:rsidRPr="00687691">
              <w:rPr>
                <w:b/>
                <w:bCs/>
                <w:szCs w:val="18"/>
              </w:rPr>
              <w:t>129.6</w:t>
            </w:r>
          </w:p>
        </w:tc>
        <w:tc>
          <w:tcPr>
            <w:tcW w:w="699" w:type="dxa"/>
            <w:noWrap/>
          </w:tcPr>
          <w:p w14:paraId="4BF1D552" w14:textId="4DD4DA05" w:rsidR="00F61F05" w:rsidRPr="00687691" w:rsidRDefault="00F61F05" w:rsidP="00F61F05">
            <w:pPr>
              <w:pStyle w:val="Tabletext"/>
              <w:jc w:val="center"/>
              <w:rPr>
                <w:b/>
                <w:bCs/>
                <w:szCs w:val="18"/>
              </w:rPr>
            </w:pPr>
            <w:r w:rsidRPr="00687691">
              <w:rPr>
                <w:b/>
                <w:bCs/>
                <w:szCs w:val="18"/>
              </w:rPr>
              <w:t>101.1</w:t>
            </w:r>
          </w:p>
        </w:tc>
        <w:tc>
          <w:tcPr>
            <w:tcW w:w="1050" w:type="dxa"/>
            <w:noWrap/>
          </w:tcPr>
          <w:p w14:paraId="17919664" w14:textId="79BCDFBC" w:rsidR="00F61F05" w:rsidRPr="00687691" w:rsidRDefault="00F61F05" w:rsidP="00F61F05">
            <w:pPr>
              <w:pStyle w:val="Tabletext"/>
              <w:jc w:val="center"/>
              <w:rPr>
                <w:b/>
                <w:bCs/>
                <w:szCs w:val="18"/>
              </w:rPr>
            </w:pPr>
            <w:r w:rsidRPr="00687691">
              <w:rPr>
                <w:b/>
                <w:bCs/>
                <w:szCs w:val="18"/>
              </w:rPr>
              <w:t>359.9</w:t>
            </w:r>
          </w:p>
        </w:tc>
      </w:tr>
    </w:tbl>
    <w:p w14:paraId="353E120A" w14:textId="4C9FDF31" w:rsidR="00D0146D" w:rsidRDefault="00D0146D" w:rsidP="00D0146D">
      <w:pPr>
        <w:pStyle w:val="Source"/>
        <w:rPr>
          <w:lang w:val="en-US"/>
        </w:rPr>
      </w:pPr>
      <w:r w:rsidRPr="00C81A98">
        <w:t>Source:</w:t>
      </w:r>
      <w:r w:rsidRPr="00C81A98">
        <w:rPr>
          <w:lang w:val="en-US"/>
        </w:rPr>
        <w:t xml:space="preserve"> Development Initiatives based on IATI and project documents from </w:t>
      </w:r>
      <w:r w:rsidR="00FA5BCA">
        <w:rPr>
          <w:lang w:val="en-US"/>
        </w:rPr>
        <w:t>IFI</w:t>
      </w:r>
      <w:r w:rsidRPr="00C81A98">
        <w:rPr>
          <w:lang w:val="en-US"/>
        </w:rPr>
        <w:t xml:space="preserve"> lenders</w:t>
      </w:r>
      <w:r>
        <w:rPr>
          <w:lang w:val="en-US"/>
        </w:rPr>
        <w:t>.</w:t>
      </w:r>
    </w:p>
    <w:p w14:paraId="4A9B743A" w14:textId="4DFCBE5C" w:rsidR="00933D4E" w:rsidRDefault="00933D4E" w:rsidP="00D0146D">
      <w:pPr>
        <w:pStyle w:val="Source"/>
        <w:rPr>
          <w:lang w:val="en-US"/>
        </w:rPr>
      </w:pPr>
      <w:r w:rsidRPr="0055490D">
        <w:rPr>
          <w:rFonts w:cstheme="minorHAnsi"/>
          <w:lang w:val="en-US"/>
        </w:rPr>
        <w:t>Data for 2021</w:t>
      </w:r>
      <w:r w:rsidRPr="0055490D">
        <w:rPr>
          <w:lang w:val="en-US"/>
        </w:rPr>
        <w:t xml:space="preserve"> does not include all the loans that will be advanced this year</w:t>
      </w:r>
      <w:r>
        <w:rPr>
          <w:lang w:val="en-US"/>
        </w:rPr>
        <w:t>: only l</w:t>
      </w:r>
      <w:r w:rsidRPr="0055490D">
        <w:rPr>
          <w:lang w:val="en-US"/>
        </w:rPr>
        <w:t xml:space="preserve">oans </w:t>
      </w:r>
      <w:r>
        <w:rPr>
          <w:lang w:val="en-US"/>
        </w:rPr>
        <w:t>made up to and including</w:t>
      </w:r>
      <w:r w:rsidRPr="0055490D">
        <w:rPr>
          <w:lang w:val="en-US"/>
        </w:rPr>
        <w:t xml:space="preserve"> </w:t>
      </w:r>
      <w:r>
        <w:rPr>
          <w:lang w:val="en-US"/>
        </w:rPr>
        <w:t>June</w:t>
      </w:r>
      <w:r w:rsidRPr="0055490D">
        <w:rPr>
          <w:lang w:val="en-US"/>
        </w:rPr>
        <w:t xml:space="preserve"> 2021</w:t>
      </w:r>
      <w:r>
        <w:rPr>
          <w:lang w:val="en-US"/>
        </w:rPr>
        <w:t xml:space="preserve"> were counted.</w:t>
      </w:r>
    </w:p>
    <w:p w14:paraId="0EDE3B6B" w14:textId="5575E66D" w:rsidR="0042496E" w:rsidRDefault="00D0146D" w:rsidP="001F0EC6">
      <w:pPr>
        <w:spacing w:before="0" w:line="240" w:lineRule="auto"/>
        <w:rPr>
          <w:lang w:val="en-US"/>
        </w:rPr>
      </w:pPr>
      <w:r>
        <w:rPr>
          <w:lang w:val="en-US"/>
        </w:rPr>
        <w:br w:type="page"/>
      </w:r>
    </w:p>
    <w:p w14:paraId="11073E81" w14:textId="77777777" w:rsidR="0006621E" w:rsidRDefault="0006621E" w:rsidP="005D207B">
      <w:pPr>
        <w:pStyle w:val="Heading1"/>
        <w:sectPr w:rsidR="0006621E" w:rsidSect="002C57E0">
          <w:footerReference w:type="even" r:id="rId22"/>
          <w:footerReference w:type="default" r:id="rId23"/>
          <w:headerReference w:type="first" r:id="rId24"/>
          <w:footerReference w:type="first" r:id="rId25"/>
          <w:endnotePr>
            <w:numFmt w:val="decimal"/>
          </w:endnotePr>
          <w:pgSz w:w="11900" w:h="16840"/>
          <w:pgMar w:top="1701" w:right="1701" w:bottom="1559" w:left="2268" w:header="709" w:footer="709" w:gutter="0"/>
          <w:cols w:space="708"/>
          <w:titlePg/>
          <w:docGrid w:linePitch="360"/>
        </w:sectPr>
      </w:pPr>
      <w:bookmarkStart w:id="45" w:name="_Notes"/>
      <w:bookmarkStart w:id="46" w:name="_Toc91097900"/>
      <w:bookmarkEnd w:id="45"/>
      <w:bookmarkEnd w:id="0"/>
      <w:r>
        <w:lastRenderedPageBreak/>
        <w:t>N</w:t>
      </w:r>
      <w:r w:rsidR="005D207B">
        <w:t>otes</w:t>
      </w:r>
      <w:bookmarkEnd w:id="46"/>
    </w:p>
    <w:p w14:paraId="5DF5A052" w14:textId="77777777" w:rsidR="00F47AEE" w:rsidRDefault="00F47AEE">
      <w:pPr>
        <w:spacing w:before="0" w:line="240" w:lineRule="auto"/>
      </w:pPr>
    </w:p>
    <w:p w14:paraId="3314523D" w14:textId="77777777" w:rsidR="005E572D" w:rsidRDefault="005E572D" w:rsidP="00BA3EF3"/>
    <w:p w14:paraId="2DA3CFF1" w14:textId="77777777" w:rsidR="005E572D" w:rsidRDefault="005E572D" w:rsidP="00BA3EF3"/>
    <w:p w14:paraId="006D2BF8" w14:textId="77777777" w:rsidR="005E572D" w:rsidRDefault="005E572D" w:rsidP="00BA3EF3"/>
    <w:p w14:paraId="773C6D48" w14:textId="77777777" w:rsidR="005E572D" w:rsidRDefault="005E572D" w:rsidP="00BA3EF3"/>
    <w:p w14:paraId="64395918" w14:textId="77777777" w:rsidR="005E572D" w:rsidRDefault="005E572D" w:rsidP="00BA3EF3"/>
    <w:p w14:paraId="071BCF5B" w14:textId="77777777" w:rsidR="005E572D" w:rsidRDefault="005E572D" w:rsidP="00BA3EF3"/>
    <w:p w14:paraId="50EE7D2C" w14:textId="77777777" w:rsidR="005E572D" w:rsidRDefault="005E572D" w:rsidP="00BA3EF3"/>
    <w:p w14:paraId="6844D3C7" w14:textId="77777777" w:rsidR="005E572D" w:rsidRDefault="005E572D" w:rsidP="00BA3EF3"/>
    <w:p w14:paraId="337D6E7B" w14:textId="77777777" w:rsidR="00BA3EF3" w:rsidRDefault="005E572D" w:rsidP="00BA3EF3">
      <w:r>
        <w:rPr>
          <w:noProof/>
          <w:lang w:eastAsia="en-GB"/>
        </w:rPr>
        <mc:AlternateContent>
          <mc:Choice Requires="wps">
            <w:drawing>
              <wp:anchor distT="0" distB="0" distL="114300" distR="114300" simplePos="0" relativeHeight="251666432" behindDoc="0" locked="0" layoutInCell="1" allowOverlap="1" wp14:anchorId="4AE51C1D" wp14:editId="1285F310">
                <wp:simplePos x="0" y="0"/>
                <wp:positionH relativeFrom="margin">
                  <wp:posOffset>109773</wp:posOffset>
                </wp:positionH>
                <wp:positionV relativeFrom="paragraph">
                  <wp:posOffset>44632</wp:posOffset>
                </wp:positionV>
                <wp:extent cx="5029200" cy="0"/>
                <wp:effectExtent l="0" t="0" r="25400" b="25400"/>
                <wp:wrapNone/>
                <wp:docPr id="22" name="Straight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2"/>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05C6F4B1" id="Straight Connector 22" o:spid="_x0000_s1026" alt="&quot;&quot;" style="position:absolute;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65pt,3.5pt" to="404.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" strokecolor="#c3105a [3215]">
                <w10:wrap anchorx="margin"/>
              </v:line>
            </w:pict>
          </mc:Fallback>
        </mc:AlternateContent>
      </w:r>
      <w:r w:rsidRPr="005E572D">
        <w:rPr>
          <w:noProof/>
          <w:lang w:eastAsia="en-GB"/>
        </w:rPr>
        <mc:AlternateContent>
          <mc:Choice Requires="wps">
            <w:drawing>
              <wp:anchor distT="0" distB="0" distL="114300" distR="114300" simplePos="0" relativeHeight="251663360" behindDoc="0" locked="0" layoutInCell="1" allowOverlap="1" wp14:anchorId="557AB8DD" wp14:editId="5C162F72">
                <wp:simplePos x="0" y="0"/>
                <wp:positionH relativeFrom="margin">
                  <wp:posOffset>0</wp:posOffset>
                </wp:positionH>
                <wp:positionV relativeFrom="paragraph">
                  <wp:posOffset>186055</wp:posOffset>
                </wp:positionV>
                <wp:extent cx="3200400" cy="5022850"/>
                <wp:effectExtent l="0" t="0" r="0" b="6350"/>
                <wp:wrapSquare wrapText="bothSides"/>
                <wp:docPr id="15" name="Text Box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200400" cy="502285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1C0C6228" w14:textId="77777777" w:rsidR="00D66241" w:rsidRDefault="00D66241" w:rsidP="00A506CF">
                            <w:pPr>
                              <w:pStyle w:val="Backpagetext"/>
                            </w:pPr>
                            <w:r>
                              <w:t>Development Initiatives (DI) is a global organisation that applies the power of data and evidence to build sustainable solutions that create an equitable and resilient world.</w:t>
                            </w:r>
                          </w:p>
                          <w:p w14:paraId="221E58F9" w14:textId="77777777" w:rsidR="00D66241" w:rsidRDefault="00D66241" w:rsidP="00A506CF">
                            <w:pPr>
                              <w:pStyle w:val="Backpagetext"/>
                            </w:pPr>
                            <w:r>
                              <w:t>We work closely with partners at global, regional, national and local levels to ensure data-driven evidence and analysis are used effectively in policy and practice to end poverty, reduce inequality and increase resilience.</w:t>
                            </w:r>
                          </w:p>
                          <w:p w14:paraId="01480407" w14:textId="77777777" w:rsidR="00D66241" w:rsidRPr="00C90F55" w:rsidRDefault="00D66241" w:rsidP="00A506CF">
                            <w:pPr>
                              <w:pStyle w:val="Backpagetext"/>
                            </w:pPr>
                            <w:r w:rsidRPr="00C90F55">
                              <w:t>Co</w:t>
                            </w:r>
                            <w:r>
                              <w:t xml:space="preserve">ntent produced by Development </w:t>
                            </w:r>
                            <w:r w:rsidRPr="00C90F55">
                              <w:t xml:space="preserve">Initiatives </w:t>
                            </w:r>
                            <w:r>
                              <w:t xml:space="preserve">is licensed under a Creative Commons Attribution BY-NC-ND 4.0 International license, unless stated otherwise on an image or page. </w:t>
                            </w:r>
                            <w:r w:rsidRPr="00C90F55">
                              <w:t>We encourage dissemination of our work provided a reference is included.</w:t>
                            </w:r>
                          </w:p>
                          <w:p w14:paraId="6C4DF7A2" w14:textId="3E89885F" w:rsidR="00D66241" w:rsidRDefault="00D66241" w:rsidP="00A506CF">
                            <w:pPr>
                              <w:pStyle w:val="Backpagetext"/>
                              <w:spacing w:after="0"/>
                            </w:pPr>
                            <w:r w:rsidRPr="00C265EC">
                              <w:t>Contact</w:t>
                            </w:r>
                            <w:r w:rsidRPr="00C265EC">
                              <w:br/>
                            </w:r>
                            <w:r w:rsidR="00D441E7">
                              <w:t>Moses O. Owori</w:t>
                            </w:r>
                          </w:p>
                          <w:p w14:paraId="080E8925" w14:textId="525F9E22" w:rsidR="00D66241" w:rsidRDefault="00D441E7" w:rsidP="00A506CF">
                            <w:pPr>
                              <w:pStyle w:val="Backpagetext"/>
                              <w:spacing w:after="0"/>
                            </w:pPr>
                            <w:r>
                              <w:t xml:space="preserve">Senior </w:t>
                            </w:r>
                            <w:r w:rsidR="00D66241">
                              <w:t>Analyst</w:t>
                            </w:r>
                          </w:p>
                          <w:p w14:paraId="42CF4387" w14:textId="031E5BB4" w:rsidR="00D66241" w:rsidRDefault="009D7657" w:rsidP="00A506CF">
                            <w:pPr>
                              <w:pStyle w:val="Backpagetext"/>
                            </w:pPr>
                            <w:hyperlink r:id="rId26" w:history="1">
                              <w:r w:rsidR="00D441E7" w:rsidRPr="004C368E">
                                <w:rPr>
                                  <w:rStyle w:val="Hyperlink"/>
                                </w:rPr>
                                <w:t>moses.owori@devinit.org</w:t>
                              </w:r>
                            </w:hyperlink>
                            <w:r w:rsidR="00D441E7">
                              <w:rPr>
                                <w:rStyle w:val="Hyperlink"/>
                              </w:rPr>
                              <w:t xml:space="preserve"> </w:t>
                            </w:r>
                          </w:p>
                          <w:p w14:paraId="5796C0A1" w14:textId="0C5BCB92" w:rsidR="00D66241" w:rsidRDefault="00D66241" w:rsidP="00A506CF">
                            <w:pPr>
                              <w:pStyle w:val="Backpagetext"/>
                            </w:pPr>
                            <w:r w:rsidRPr="00EC71C9">
                              <w:t>To find out more about our work visit:</w:t>
                            </w:r>
                            <w:r>
                              <w:br/>
                            </w:r>
                            <w:hyperlink r:id="rId27" w:history="1">
                              <w:r w:rsidR="00D441E7" w:rsidRPr="004C368E">
                                <w:rPr>
                                  <w:rStyle w:val="Hyperlink"/>
                                </w:rPr>
                                <w:t>www.devinit.org</w:t>
                              </w:r>
                            </w:hyperlink>
                            <w:r>
                              <w:br/>
                            </w:r>
                            <w:r w:rsidRPr="00EC71C9">
                              <w:t>Twitter: @devinitorg</w:t>
                            </w:r>
                            <w:r>
                              <w:br/>
                            </w:r>
                            <w:r w:rsidRPr="00EC71C9">
                              <w:t xml:space="preserve">Email: </w:t>
                            </w:r>
                            <w:hyperlink r:id="rId28" w:history="1">
                              <w:r w:rsidRPr="00372C56">
                                <w:rPr>
                                  <w:rStyle w:val="Hyperlink"/>
                                </w:rPr>
                                <w:t>info@devinit.org</w:t>
                              </w:r>
                            </w:hyperlink>
                          </w:p>
                          <w:p w14:paraId="4D68CDE2" w14:textId="77777777" w:rsidR="00D66241" w:rsidRPr="00EC71C9" w:rsidRDefault="00D66241" w:rsidP="00A506CF">
                            <w:pPr>
                              <w:pStyle w:val="Backpagetext"/>
                            </w:pPr>
                            <w:r w:rsidRPr="009C20C0">
                              <w:t xml:space="preserve">Development Initiatives is the trading name of Development Initiatives Poverty Research Ltd, registered in England and Wales, Company No. 06368740, and DI International Ltd, registered in England and Wales, Company No. 5802543. Registered Office: </w:t>
                            </w:r>
                            <w:r w:rsidRPr="001918C7">
                              <w:t>First Floor Centre, The Quorum, Bond Street South, Bristol, BS1 3AE, UK</w:t>
                            </w:r>
                            <w:r>
                              <w:t>.</w:t>
                            </w:r>
                          </w:p>
                          <w:p w14:paraId="0C54E0CC" w14:textId="77777777" w:rsidR="00D66241" w:rsidRDefault="00D66241" w:rsidP="005E572D">
                            <w:pPr>
                              <w:pStyle w:val="Backpag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B8DD" id="Text Box 15" o:spid="_x0000_s1027" type="#_x0000_t202" style="position:absolute;margin-left:0;margin-top:14.65pt;width:252pt;height:39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" filled="f" stroked="f">
                <v:textbox>
                  <w:txbxContent>
                    <w:p w14:paraId="1C0C6228" w14:textId="77777777" w:rsidR="00D66241" w:rsidRDefault="00D66241" w:rsidP="00A506CF">
                      <w:pPr>
                        <w:pStyle w:val="Backpagetext"/>
                      </w:pPr>
                      <w:r>
                        <w:t>Development Initiatives (DI) is a global organisation that applies the power of data and evidence to build sustainable solutions that create an equitable and resilient world.</w:t>
                      </w:r>
                    </w:p>
                    <w:p w14:paraId="221E58F9" w14:textId="77777777" w:rsidR="00D66241" w:rsidRDefault="00D66241" w:rsidP="00A506CF">
                      <w:pPr>
                        <w:pStyle w:val="Backpagetext"/>
                      </w:pPr>
                      <w:r>
                        <w:t>We work closely with partners at global, regional, national and local levels to ensure data-driven evidence and analysis are used effectively in policy and practice to end poverty, reduce inequality and increase resilience.</w:t>
                      </w:r>
                    </w:p>
                    <w:p w14:paraId="01480407" w14:textId="77777777" w:rsidR="00D66241" w:rsidRPr="00C90F55" w:rsidRDefault="00D66241" w:rsidP="00A506CF">
                      <w:pPr>
                        <w:pStyle w:val="Backpagetext"/>
                      </w:pPr>
                      <w:r w:rsidRPr="00C90F55">
                        <w:t>Co</w:t>
                      </w:r>
                      <w:r>
                        <w:t xml:space="preserve">ntent produced by Development </w:t>
                      </w:r>
                      <w:r w:rsidRPr="00C90F55">
                        <w:t xml:space="preserve">Initiatives </w:t>
                      </w:r>
                      <w:r>
                        <w:t xml:space="preserve">is licensed under a Creative Commons Attribution BY-NC-ND 4.0 International license, unless stated otherwise on an image or page. </w:t>
                      </w:r>
                      <w:r w:rsidRPr="00C90F55">
                        <w:t>We encourage dissemination of our work provided a reference is included.</w:t>
                      </w:r>
                    </w:p>
                    <w:p w14:paraId="6C4DF7A2" w14:textId="3E89885F" w:rsidR="00D66241" w:rsidRDefault="00D66241" w:rsidP="00A506CF">
                      <w:pPr>
                        <w:pStyle w:val="Backpagetext"/>
                        <w:spacing w:after="0"/>
                      </w:pPr>
                      <w:r w:rsidRPr="00C265EC">
                        <w:t>Contact</w:t>
                      </w:r>
                      <w:r w:rsidRPr="00C265EC">
                        <w:br/>
                      </w:r>
                      <w:r w:rsidR="00D441E7">
                        <w:t>Moses O. Owori</w:t>
                      </w:r>
                    </w:p>
                    <w:p w14:paraId="080E8925" w14:textId="525F9E22" w:rsidR="00D66241" w:rsidRDefault="00D441E7" w:rsidP="00A506CF">
                      <w:pPr>
                        <w:pStyle w:val="Backpagetext"/>
                        <w:spacing w:after="0"/>
                      </w:pPr>
                      <w:r>
                        <w:t xml:space="preserve">Senior </w:t>
                      </w:r>
                      <w:r w:rsidR="00D66241">
                        <w:t>Analyst</w:t>
                      </w:r>
                    </w:p>
                    <w:p w14:paraId="42CF4387" w14:textId="031E5BB4" w:rsidR="00D66241" w:rsidRDefault="009D7657" w:rsidP="00A506CF">
                      <w:pPr>
                        <w:pStyle w:val="Backpagetext"/>
                      </w:pPr>
                      <w:hyperlink r:id="rId29" w:history="1">
                        <w:r w:rsidR="00D441E7" w:rsidRPr="004C368E">
                          <w:rPr>
                            <w:rStyle w:val="Hyperlink"/>
                          </w:rPr>
                          <w:t>moses.owori@devinit.org</w:t>
                        </w:r>
                      </w:hyperlink>
                      <w:r w:rsidR="00D441E7">
                        <w:rPr>
                          <w:rStyle w:val="Hyperlink"/>
                        </w:rPr>
                        <w:t xml:space="preserve"> </w:t>
                      </w:r>
                    </w:p>
                    <w:p w14:paraId="5796C0A1" w14:textId="0C5BCB92" w:rsidR="00D66241" w:rsidRDefault="00D66241" w:rsidP="00A506CF">
                      <w:pPr>
                        <w:pStyle w:val="Backpagetext"/>
                      </w:pPr>
                      <w:r w:rsidRPr="00EC71C9">
                        <w:t>To find out more about our work visit:</w:t>
                      </w:r>
                      <w:r>
                        <w:br/>
                      </w:r>
                      <w:hyperlink r:id="rId30" w:history="1">
                        <w:r w:rsidR="00D441E7" w:rsidRPr="004C368E">
                          <w:rPr>
                            <w:rStyle w:val="Hyperlink"/>
                          </w:rPr>
                          <w:t>www.devinit.org</w:t>
                        </w:r>
                      </w:hyperlink>
                      <w:r>
                        <w:br/>
                      </w:r>
                      <w:r w:rsidRPr="00EC71C9">
                        <w:t>Twitter: @devinitorg</w:t>
                      </w:r>
                      <w:r>
                        <w:br/>
                      </w:r>
                      <w:r w:rsidRPr="00EC71C9">
                        <w:t xml:space="preserve">Email: </w:t>
                      </w:r>
                      <w:hyperlink r:id="rId31" w:history="1">
                        <w:r w:rsidRPr="00372C56">
                          <w:rPr>
                            <w:rStyle w:val="Hyperlink"/>
                          </w:rPr>
                          <w:t>info@devinit.org</w:t>
                        </w:r>
                      </w:hyperlink>
                    </w:p>
                    <w:p w14:paraId="4D68CDE2" w14:textId="77777777" w:rsidR="00D66241" w:rsidRPr="00EC71C9" w:rsidRDefault="00D66241" w:rsidP="00A506CF">
                      <w:pPr>
                        <w:pStyle w:val="Backpagetext"/>
                      </w:pPr>
                      <w:r w:rsidRPr="009C20C0">
                        <w:t xml:space="preserve">Development Initiatives is the trading name of Development Initiatives Poverty Research Ltd, registered in England and Wales, Company No. 06368740, and DI International Ltd, registered in England and Wales, Company No. 5802543. Registered Office: </w:t>
                      </w:r>
                      <w:r w:rsidRPr="001918C7">
                        <w:t>First Floor Centre, The Quorum, Bond Street South, Bristol, BS1 3AE, UK</w:t>
                      </w:r>
                      <w:r>
                        <w:t>.</w:t>
                      </w:r>
                    </w:p>
                    <w:p w14:paraId="0C54E0CC" w14:textId="77777777" w:rsidR="00D66241" w:rsidRDefault="00D66241" w:rsidP="005E572D">
                      <w:pPr>
                        <w:pStyle w:val="Backpagetext"/>
                      </w:pPr>
                    </w:p>
                  </w:txbxContent>
                </v:textbox>
                <w10:wrap type="square" anchorx="margin"/>
              </v:shape>
            </w:pict>
          </mc:Fallback>
        </mc:AlternateContent>
      </w:r>
      <w:r w:rsidRPr="005E572D">
        <w:rPr>
          <w:noProof/>
          <w:lang w:eastAsia="en-GB"/>
        </w:rPr>
        <mc:AlternateContent>
          <mc:Choice Requires="wps">
            <w:drawing>
              <wp:anchor distT="0" distB="0" distL="114300" distR="114300" simplePos="0" relativeHeight="251664384" behindDoc="0" locked="0" layoutInCell="1" allowOverlap="1" wp14:anchorId="502E261C" wp14:editId="5A270F84">
                <wp:simplePos x="0" y="0"/>
                <wp:positionH relativeFrom="column">
                  <wp:posOffset>3657600</wp:posOffset>
                </wp:positionH>
                <wp:positionV relativeFrom="paragraph">
                  <wp:posOffset>180975</wp:posOffset>
                </wp:positionV>
                <wp:extent cx="1714500" cy="4996180"/>
                <wp:effectExtent l="0" t="0" r="0" b="7620"/>
                <wp:wrapSquare wrapText="bothSides"/>
                <wp:docPr id="18" name="Text Box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714500" cy="499618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a:ext>
                        </a:extLst>
                      </wps:spPr>
                      <wps:txbx>
                        <w:txbxContent>
                          <w:p w14:paraId="084E1013" w14:textId="77777777" w:rsidR="00D66241" w:rsidRDefault="00D66241" w:rsidP="00A506CF">
                            <w:pPr>
                              <w:pStyle w:val="Backpagetext"/>
                              <w:spacing w:after="0"/>
                            </w:pPr>
                            <w:r>
                              <w:rPr>
                                <w:b/>
                              </w:rPr>
                              <w:t>GLOBAL HUB</w:t>
                            </w:r>
                            <w:r>
                              <w:rPr>
                                <w:b/>
                              </w:rPr>
                              <w:br/>
                            </w:r>
                            <w:r w:rsidRPr="00EC71C9">
                              <w:t>Development Initiatives</w:t>
                            </w:r>
                            <w:r>
                              <w:rPr>
                                <w:b/>
                              </w:rPr>
                              <w:br/>
                            </w:r>
                            <w:r w:rsidRPr="001918C7">
                              <w:t>First Floor Centre, The Quorum Bond Street South</w:t>
                            </w:r>
                          </w:p>
                          <w:p w14:paraId="35CB6CDD" w14:textId="77777777" w:rsidR="00D66241" w:rsidRDefault="00D66241" w:rsidP="00A506CF">
                            <w:pPr>
                              <w:pStyle w:val="Backpagetext"/>
                              <w:spacing w:after="0"/>
                            </w:pPr>
                            <w:r w:rsidRPr="001918C7">
                              <w:t>Bristol</w:t>
                            </w:r>
                          </w:p>
                          <w:p w14:paraId="581C2A75" w14:textId="77777777" w:rsidR="00D66241" w:rsidRDefault="00D66241" w:rsidP="00A506CF">
                            <w:pPr>
                              <w:pStyle w:val="Backpagetext"/>
                              <w:spacing w:after="0"/>
                            </w:pPr>
                            <w:r w:rsidRPr="001918C7">
                              <w:t xml:space="preserve">BS1 3AE, UK  </w:t>
                            </w:r>
                            <w:r>
                              <w:rPr>
                                <w:b/>
                              </w:rPr>
                              <w:br/>
                            </w:r>
                            <w:r w:rsidRPr="00EC71C9">
                              <w:t>+44 (0) 1179 272 505</w:t>
                            </w:r>
                          </w:p>
                          <w:p w14:paraId="4B95B1FB" w14:textId="77777777" w:rsidR="00D66241" w:rsidRPr="00C90F55" w:rsidRDefault="00D66241" w:rsidP="00A506CF">
                            <w:pPr>
                              <w:pStyle w:val="Backpagetext"/>
                              <w:rPr>
                                <w:b/>
                              </w:rPr>
                            </w:pPr>
                          </w:p>
                          <w:p w14:paraId="48D9BE1A" w14:textId="77777777" w:rsidR="00D66241" w:rsidRPr="00C90F55" w:rsidRDefault="00D66241" w:rsidP="00A506CF">
                            <w:pPr>
                              <w:pStyle w:val="Backpagetext"/>
                              <w:rPr>
                                <w:b/>
                              </w:rPr>
                            </w:pPr>
                            <w:r>
                              <w:rPr>
                                <w:b/>
                              </w:rPr>
                              <w:t>EAST AFRICA HUB</w:t>
                            </w:r>
                            <w:r>
                              <w:rPr>
                                <w:b/>
                              </w:rPr>
                              <w:br/>
                            </w:r>
                            <w:r w:rsidRPr="00EC71C9">
                              <w:t>Development Initiatives</w:t>
                            </w:r>
                            <w:r>
                              <w:rPr>
                                <w:b/>
                              </w:rPr>
                              <w:br/>
                            </w:r>
                            <w:r w:rsidRPr="00EC71C9">
                              <w:t>Shelter Afrique Building</w:t>
                            </w:r>
                            <w:r>
                              <w:rPr>
                                <w:b/>
                              </w:rPr>
                              <w:br/>
                            </w:r>
                            <w:r w:rsidRPr="00EC71C9">
                              <w:t xml:space="preserve">4th Floor, </w:t>
                            </w:r>
                            <w:proofErr w:type="spellStart"/>
                            <w:r w:rsidRPr="00EC71C9">
                              <w:t>Mamlaka</w:t>
                            </w:r>
                            <w:proofErr w:type="spellEnd"/>
                            <w:r w:rsidRPr="00EC71C9">
                              <w:t xml:space="preserve"> Road</w:t>
                            </w:r>
                            <w:r>
                              <w:rPr>
                                <w:b/>
                              </w:rPr>
                              <w:br/>
                            </w:r>
                            <w:r w:rsidRPr="00EC71C9">
                              <w:t>Nairobi, Kenya</w:t>
                            </w:r>
                            <w:r>
                              <w:rPr>
                                <w:b/>
                              </w:rPr>
                              <w:br/>
                            </w:r>
                            <w:r w:rsidRPr="00EC71C9">
                              <w:t>PO Box 102802-00101</w:t>
                            </w:r>
                            <w:r>
                              <w:rPr>
                                <w:b/>
                              </w:rPr>
                              <w:br/>
                            </w:r>
                            <w:r w:rsidRPr="00EC71C9">
                              <w:t>+254 (0) 20 272 5346</w:t>
                            </w:r>
                          </w:p>
                          <w:p w14:paraId="645ED611" w14:textId="77777777" w:rsidR="00D66241" w:rsidRDefault="00D66241" w:rsidP="00A506CF">
                            <w:pPr>
                              <w:pStyle w:val="Backpagetext"/>
                            </w:pPr>
                            <w:r>
                              <w:rPr>
                                <w:b/>
                              </w:rPr>
                              <w:t>AMERICAS HUB</w:t>
                            </w:r>
                            <w:r>
                              <w:br/>
                            </w:r>
                            <w:r w:rsidRPr="00EC71C9">
                              <w:t>Development Initiatives</w:t>
                            </w:r>
                            <w:r>
                              <w:br/>
                            </w:r>
                            <w:r w:rsidRPr="005178F4">
                              <w:t>1100 13th Street</w:t>
                            </w:r>
                            <w:r>
                              <w:t>, NW</w:t>
                            </w:r>
                            <w:r>
                              <w:br/>
                            </w:r>
                            <w:r w:rsidRPr="00EC71C9">
                              <w:t xml:space="preserve">Suite </w:t>
                            </w:r>
                            <w:r>
                              <w:t>8</w:t>
                            </w:r>
                            <w:r w:rsidRPr="00EC71C9">
                              <w:t>00, Washington DC</w:t>
                            </w:r>
                            <w:r>
                              <w:br/>
                            </w:r>
                            <w:r w:rsidRPr="00EC71C9">
                              <w:t>20005, US</w:t>
                            </w:r>
                          </w:p>
                          <w:p w14:paraId="1404F097" w14:textId="0ECD4EC4" w:rsidR="00D66241" w:rsidRDefault="00D66241" w:rsidP="005E572D">
                            <w:pPr>
                              <w:pStyle w:val="Backpaget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E261C" id="Text Box 18" o:spid="_x0000_s1028" type="#_x0000_t202" style="position:absolute;margin-left:4in;margin-top:14.25pt;width:135pt;height:39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" filled="f" stroked="f">
                <v:textbox>
                  <w:txbxContent>
                    <w:p w14:paraId="084E1013" w14:textId="77777777" w:rsidR="00D66241" w:rsidRDefault="00D66241" w:rsidP="00A506CF">
                      <w:pPr>
                        <w:pStyle w:val="Backpagetext"/>
                        <w:spacing w:after="0"/>
                      </w:pPr>
                      <w:r>
                        <w:rPr>
                          <w:b/>
                        </w:rPr>
                        <w:t>GLOBAL HUB</w:t>
                      </w:r>
                      <w:r>
                        <w:rPr>
                          <w:b/>
                        </w:rPr>
                        <w:br/>
                      </w:r>
                      <w:r w:rsidRPr="00EC71C9">
                        <w:t>Development Initiatives</w:t>
                      </w:r>
                      <w:r>
                        <w:rPr>
                          <w:b/>
                        </w:rPr>
                        <w:br/>
                      </w:r>
                      <w:r w:rsidRPr="001918C7">
                        <w:t>First Floor Centre, The Quorum Bond Street South</w:t>
                      </w:r>
                    </w:p>
                    <w:p w14:paraId="35CB6CDD" w14:textId="77777777" w:rsidR="00D66241" w:rsidRDefault="00D66241" w:rsidP="00A506CF">
                      <w:pPr>
                        <w:pStyle w:val="Backpagetext"/>
                        <w:spacing w:after="0"/>
                      </w:pPr>
                      <w:r w:rsidRPr="001918C7">
                        <w:t>Bristol</w:t>
                      </w:r>
                    </w:p>
                    <w:p w14:paraId="581C2A75" w14:textId="77777777" w:rsidR="00D66241" w:rsidRDefault="00D66241" w:rsidP="00A506CF">
                      <w:pPr>
                        <w:pStyle w:val="Backpagetext"/>
                        <w:spacing w:after="0"/>
                      </w:pPr>
                      <w:r w:rsidRPr="001918C7">
                        <w:t xml:space="preserve">BS1 3AE, UK  </w:t>
                      </w:r>
                      <w:r>
                        <w:rPr>
                          <w:b/>
                        </w:rPr>
                        <w:br/>
                      </w:r>
                      <w:r w:rsidRPr="00EC71C9">
                        <w:t>+44 (0) 1179 272 505</w:t>
                      </w:r>
                    </w:p>
                    <w:p w14:paraId="4B95B1FB" w14:textId="77777777" w:rsidR="00D66241" w:rsidRPr="00C90F55" w:rsidRDefault="00D66241" w:rsidP="00A506CF">
                      <w:pPr>
                        <w:pStyle w:val="Backpagetext"/>
                        <w:rPr>
                          <w:b/>
                        </w:rPr>
                      </w:pPr>
                    </w:p>
                    <w:p w14:paraId="48D9BE1A" w14:textId="77777777" w:rsidR="00D66241" w:rsidRPr="00C90F55" w:rsidRDefault="00D66241" w:rsidP="00A506CF">
                      <w:pPr>
                        <w:pStyle w:val="Backpagetext"/>
                        <w:rPr>
                          <w:b/>
                        </w:rPr>
                      </w:pPr>
                      <w:r>
                        <w:rPr>
                          <w:b/>
                        </w:rPr>
                        <w:t>EAST AFRICA HUB</w:t>
                      </w:r>
                      <w:r>
                        <w:rPr>
                          <w:b/>
                        </w:rPr>
                        <w:br/>
                      </w:r>
                      <w:r w:rsidRPr="00EC71C9">
                        <w:t>Development Initiatives</w:t>
                      </w:r>
                      <w:r>
                        <w:rPr>
                          <w:b/>
                        </w:rPr>
                        <w:br/>
                      </w:r>
                      <w:r w:rsidRPr="00EC71C9">
                        <w:t>Shelter Afrique Building</w:t>
                      </w:r>
                      <w:r>
                        <w:rPr>
                          <w:b/>
                        </w:rPr>
                        <w:br/>
                      </w:r>
                      <w:r w:rsidRPr="00EC71C9">
                        <w:t xml:space="preserve">4th Floor, </w:t>
                      </w:r>
                      <w:proofErr w:type="spellStart"/>
                      <w:r w:rsidRPr="00EC71C9">
                        <w:t>Mamlaka</w:t>
                      </w:r>
                      <w:proofErr w:type="spellEnd"/>
                      <w:r w:rsidRPr="00EC71C9">
                        <w:t xml:space="preserve"> Road</w:t>
                      </w:r>
                      <w:r>
                        <w:rPr>
                          <w:b/>
                        </w:rPr>
                        <w:br/>
                      </w:r>
                      <w:r w:rsidRPr="00EC71C9">
                        <w:t>Nairobi, Kenya</w:t>
                      </w:r>
                      <w:r>
                        <w:rPr>
                          <w:b/>
                        </w:rPr>
                        <w:br/>
                      </w:r>
                      <w:r w:rsidRPr="00EC71C9">
                        <w:t>PO Box 102802-00101</w:t>
                      </w:r>
                      <w:r>
                        <w:rPr>
                          <w:b/>
                        </w:rPr>
                        <w:br/>
                      </w:r>
                      <w:r w:rsidRPr="00EC71C9">
                        <w:t>+254 (0) 20 272 5346</w:t>
                      </w:r>
                    </w:p>
                    <w:p w14:paraId="645ED611" w14:textId="77777777" w:rsidR="00D66241" w:rsidRDefault="00D66241" w:rsidP="00A506CF">
                      <w:pPr>
                        <w:pStyle w:val="Backpagetext"/>
                      </w:pPr>
                      <w:r>
                        <w:rPr>
                          <w:b/>
                        </w:rPr>
                        <w:t>AMERICAS HUB</w:t>
                      </w:r>
                      <w:r>
                        <w:br/>
                      </w:r>
                      <w:r w:rsidRPr="00EC71C9">
                        <w:t>Development Initiatives</w:t>
                      </w:r>
                      <w:r>
                        <w:br/>
                      </w:r>
                      <w:r w:rsidRPr="005178F4">
                        <w:t>1100 13th Street</w:t>
                      </w:r>
                      <w:r>
                        <w:t>, NW</w:t>
                      </w:r>
                      <w:r>
                        <w:br/>
                      </w:r>
                      <w:r w:rsidRPr="00EC71C9">
                        <w:t xml:space="preserve">Suite </w:t>
                      </w:r>
                      <w:r>
                        <w:t>8</w:t>
                      </w:r>
                      <w:r w:rsidRPr="00EC71C9">
                        <w:t>00, Washington DC</w:t>
                      </w:r>
                      <w:r>
                        <w:br/>
                      </w:r>
                      <w:r w:rsidRPr="00EC71C9">
                        <w:t>20005, US</w:t>
                      </w:r>
                    </w:p>
                    <w:p w14:paraId="1404F097" w14:textId="0ECD4EC4" w:rsidR="00D66241" w:rsidRDefault="00D66241" w:rsidP="005E572D">
                      <w:pPr>
                        <w:pStyle w:val="Backpagetext"/>
                      </w:pPr>
                    </w:p>
                  </w:txbxContent>
                </v:textbox>
                <w10:wrap type="square"/>
              </v:shape>
            </w:pict>
          </mc:Fallback>
        </mc:AlternateContent>
      </w:r>
    </w:p>
    <w:sectPr w:rsidR="00BA3EF3" w:rsidSect="002C57E0">
      <w:headerReference w:type="first" r:id="rId32"/>
      <w:endnotePr>
        <w:numFmt w:val="decimal"/>
      </w:endnotePr>
      <w:pgSz w:w="11900" w:h="16840"/>
      <w:pgMar w:top="1701" w:right="1701" w:bottom="1559"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E403" w14:textId="77777777" w:rsidR="004910B1" w:rsidRDefault="004910B1"/>
  </w:endnote>
  <w:endnote w:type="continuationSeparator" w:id="0">
    <w:p w14:paraId="2EC4FD2B" w14:textId="77777777" w:rsidR="004910B1" w:rsidRDefault="004910B1" w:rsidP="005264C1">
      <w:pPr>
        <w:spacing w:before="0" w:line="240" w:lineRule="auto"/>
      </w:pPr>
    </w:p>
    <w:p w14:paraId="56312792" w14:textId="77777777" w:rsidR="004910B1" w:rsidRDefault="004910B1"/>
  </w:endnote>
  <w:endnote w:type="continuationNotice" w:id="1">
    <w:p w14:paraId="30ECB654" w14:textId="77777777" w:rsidR="004910B1" w:rsidRDefault="004910B1">
      <w:pPr>
        <w:spacing w:before="0" w:line="240" w:lineRule="auto"/>
      </w:pPr>
    </w:p>
  </w:endnote>
  <w:endnote w:id="2">
    <w:p w14:paraId="59A61339" w14:textId="0A5C72CD" w:rsidR="00D66241" w:rsidRPr="00064270" w:rsidRDefault="00D66241" w:rsidP="00C41A50">
      <w:pPr>
        <w:pStyle w:val="EndnoteText"/>
      </w:pPr>
      <w:r>
        <w:rPr>
          <w:rStyle w:val="EndnoteReference"/>
        </w:rPr>
        <w:endnoteRef/>
      </w:r>
      <w:r>
        <w:t xml:space="preserve"> </w:t>
      </w:r>
      <w:r w:rsidR="00C41A50">
        <w:t>Development initiatives, July 2021. Analysis of aid flows to Uganda before and during Covid-19</w:t>
      </w:r>
      <w:r w:rsidR="00064270">
        <w:t xml:space="preserve">. </w:t>
      </w:r>
      <w:r w:rsidR="00C41A50">
        <w:t xml:space="preserve">Available at: </w:t>
      </w:r>
      <w:hyperlink r:id="rId1" w:history="1">
        <w:r w:rsidR="00FA5BCA" w:rsidRPr="00495212">
          <w:rPr>
            <w:rStyle w:val="Hyperlink"/>
          </w:rPr>
          <w:t>https://www.devinit.org/f398eb</w:t>
        </w:r>
      </w:hyperlink>
    </w:p>
  </w:endnote>
  <w:endnote w:id="3">
    <w:p w14:paraId="54BB4A32" w14:textId="77777777" w:rsidR="0019393B" w:rsidRPr="00642070" w:rsidRDefault="0019393B" w:rsidP="0019393B">
      <w:pPr>
        <w:pStyle w:val="EndnoteText"/>
        <w:rPr>
          <w:lang w:val="en-US"/>
        </w:rPr>
      </w:pPr>
      <w:r>
        <w:rPr>
          <w:rStyle w:val="EndnoteReference"/>
        </w:rPr>
        <w:endnoteRef/>
      </w:r>
      <w:r>
        <w:t xml:space="preserve"> World Bank, 2020. Joint World Bank-IMF Debt Sustainability Analysis. Available at: </w:t>
      </w:r>
      <w:hyperlink r:id="rId2" w:history="1">
        <w:r w:rsidRPr="00EB5AF2">
          <w:rPr>
            <w:rStyle w:val="Hyperlink"/>
          </w:rPr>
          <w:t>https://documents1.worldbank.org/curated/en/687621596233318202/pdf/Uganda-Joint-World-Bank-IMF-Debt-Sustainability-Analysis.pdf</w:t>
        </w:r>
      </w:hyperlink>
      <w:r>
        <w:t xml:space="preserve"> </w:t>
      </w:r>
    </w:p>
  </w:endnote>
  <w:endnote w:id="4">
    <w:p w14:paraId="301A44F2" w14:textId="77777777" w:rsidR="0019393B" w:rsidRPr="006D1205" w:rsidRDefault="0019393B" w:rsidP="0019393B">
      <w:pPr>
        <w:pStyle w:val="EndnoteText"/>
        <w:rPr>
          <w:lang w:val="en-US"/>
        </w:rPr>
      </w:pPr>
      <w:r>
        <w:rPr>
          <w:rStyle w:val="EndnoteReference"/>
        </w:rPr>
        <w:endnoteRef/>
      </w:r>
      <w:r>
        <w:t xml:space="preserve"> World Bank, 2021. Joint World Bank-IMF Debt Sustainability Analysis. Accessed 23/09/2021. Available at: </w:t>
      </w:r>
      <w:hyperlink r:id="rId3" w:history="1">
        <w:r w:rsidRPr="002C50BB">
          <w:rPr>
            <w:rStyle w:val="Hyperlink"/>
          </w:rPr>
          <w:t>https://documents.worldbank.org/en/publication/documents-reports/documentdetail/693991625855172394/uganda-joint-world-bank-imf-debt-sustainability-analysis</w:t>
        </w:r>
      </w:hyperlink>
      <w:r>
        <w:t xml:space="preserve"> </w:t>
      </w:r>
    </w:p>
  </w:endnote>
  <w:endnote w:id="5">
    <w:p w14:paraId="14CE851D" w14:textId="77777777" w:rsidR="00520B68" w:rsidRPr="001F0EC6" w:rsidRDefault="00520B68" w:rsidP="00520B68">
      <w:pPr>
        <w:pStyle w:val="EndnoteText"/>
        <w:rPr>
          <w:lang w:val="en-US"/>
        </w:rPr>
      </w:pPr>
      <w:r>
        <w:rPr>
          <w:rStyle w:val="EndnoteReference"/>
        </w:rPr>
        <w:endnoteRef/>
      </w:r>
      <w:r>
        <w:t xml:space="preserve"> Bank of Uganda</w:t>
      </w:r>
      <w:r>
        <w:rPr>
          <w:lang w:val="en-US"/>
        </w:rPr>
        <w:t xml:space="preserve">, Oct 2021.Monetory policy report. Available at: </w:t>
      </w:r>
      <w:hyperlink r:id="rId4" w:history="1">
        <w:r w:rsidRPr="009812C4">
          <w:rPr>
            <w:rStyle w:val="Hyperlink"/>
            <w:lang w:val="en-US"/>
          </w:rPr>
          <w:t>https://www.bou.or.ug/bou/bouwebsite/MonetaryPolicy/mpreports.html</w:t>
        </w:r>
      </w:hyperlink>
      <w:r>
        <w:rPr>
          <w:lang w:val="en-US"/>
        </w:rPr>
        <w:t xml:space="preserve"> </w:t>
      </w:r>
    </w:p>
  </w:endnote>
  <w:endnote w:id="6">
    <w:p w14:paraId="79E82D21" w14:textId="7757787A" w:rsidR="00000212" w:rsidRPr="00000212" w:rsidRDefault="00000212">
      <w:pPr>
        <w:pStyle w:val="EndnoteText"/>
        <w:rPr>
          <w:lang w:val="en-US"/>
        </w:rPr>
      </w:pPr>
      <w:r>
        <w:rPr>
          <w:rStyle w:val="EndnoteReference"/>
        </w:rPr>
        <w:endnoteRef/>
      </w:r>
      <w:r>
        <w:t xml:space="preserve"> </w:t>
      </w:r>
      <w:r w:rsidR="004B2A36">
        <w:t>World Bank, Uganda loans from the World Bank</w:t>
      </w:r>
      <w:r w:rsidR="00FF409C">
        <w:t xml:space="preserve">. </w:t>
      </w:r>
      <w:r w:rsidR="004B2A36">
        <w:rPr>
          <w:lang w:val="en-US"/>
        </w:rPr>
        <w:t xml:space="preserve">Accessed. 06/10/2021, </w:t>
      </w:r>
      <w:r w:rsidR="004B2A36">
        <w:t xml:space="preserve">Available at: </w:t>
      </w:r>
      <w:hyperlink r:id="rId5" w:history="1">
        <w:r w:rsidR="00FA5BCA" w:rsidRPr="00495212">
          <w:rPr>
            <w:rStyle w:val="Hyperlink"/>
          </w:rPr>
          <w:t>https://finances.worldbank.org/Loans-and-Credits/Uganda-Loans-from-World-Bank/i7jh-e6ry</w:t>
        </w:r>
      </w:hyperlink>
      <w:r>
        <w:t xml:space="preserve"> </w:t>
      </w:r>
    </w:p>
  </w:endnote>
  <w:endnote w:id="7">
    <w:p w14:paraId="6EEEAA00" w14:textId="46E1DBDF" w:rsidR="00021267" w:rsidRDefault="00021267">
      <w:pPr>
        <w:pStyle w:val="EndnoteText"/>
      </w:pPr>
      <w:r>
        <w:rPr>
          <w:rStyle w:val="EndnoteReference"/>
        </w:rPr>
        <w:endnoteRef/>
      </w:r>
      <w:r>
        <w:t xml:space="preserve"> For more detail on the</w:t>
      </w:r>
      <w:r w:rsidRPr="00021267">
        <w:t xml:space="preserve"> World Bank’s lending terms</w:t>
      </w:r>
      <w:r>
        <w:t xml:space="preserve">, visit: </w:t>
      </w:r>
      <w:r w:rsidRPr="00021267">
        <w:t>https://ida.worldbank.org/en/financing/ida-lending-terms</w:t>
      </w:r>
    </w:p>
  </w:endnote>
  <w:endnote w:id="8">
    <w:p w14:paraId="58AE0E7C" w14:textId="558F25BB" w:rsidR="00356263" w:rsidRPr="00CE7C11" w:rsidRDefault="00356263" w:rsidP="00356263">
      <w:pPr>
        <w:pStyle w:val="EndnoteText"/>
        <w:rPr>
          <w:lang w:val="en-US"/>
        </w:rPr>
      </w:pPr>
      <w:r>
        <w:rPr>
          <w:rStyle w:val="EndnoteReference"/>
        </w:rPr>
        <w:endnoteRef/>
      </w:r>
      <w:r>
        <w:t xml:space="preserve"> IMF, Frequently asked questions on Uganda. </w:t>
      </w:r>
      <w:r>
        <w:rPr>
          <w:lang w:val="en-US"/>
        </w:rPr>
        <w:t xml:space="preserve">Accessed. 06/10/2021, </w:t>
      </w:r>
      <w:r>
        <w:t xml:space="preserve">Available at: </w:t>
      </w:r>
      <w:hyperlink r:id="rId6" w:history="1">
        <w:r w:rsidR="00FA5BCA" w:rsidRPr="00495212">
          <w:rPr>
            <w:rStyle w:val="Hyperlink"/>
          </w:rPr>
          <w:t>https://www.imf.org/en/Countries/UGA/uganda-qandas</w:t>
        </w:r>
      </w:hyperlink>
      <w:r>
        <w:t xml:space="preserve"> </w:t>
      </w:r>
    </w:p>
  </w:endnote>
  <w:endnote w:id="9">
    <w:p w14:paraId="286E8EDA" w14:textId="550D3CAD" w:rsidR="00356263" w:rsidRPr="00CE7C11" w:rsidRDefault="00356263" w:rsidP="00356263">
      <w:pPr>
        <w:pStyle w:val="EndnoteText"/>
        <w:rPr>
          <w:lang w:val="en-US"/>
        </w:rPr>
      </w:pPr>
      <w:r>
        <w:rPr>
          <w:rStyle w:val="EndnoteReference"/>
        </w:rPr>
        <w:endnoteRef/>
      </w:r>
      <w:r>
        <w:t xml:space="preserve"> IMF, Frequently asked questions on Uganda. </w:t>
      </w:r>
      <w:r>
        <w:rPr>
          <w:lang w:val="en-US"/>
        </w:rPr>
        <w:t xml:space="preserve">Accessed. 06/10/2021, </w:t>
      </w:r>
      <w:r>
        <w:t xml:space="preserve">Available at: </w:t>
      </w:r>
      <w:hyperlink r:id="rId7" w:history="1">
        <w:r w:rsidR="00FA5BCA" w:rsidRPr="00495212">
          <w:rPr>
            <w:rStyle w:val="Hyperlink"/>
          </w:rPr>
          <w:t>https://www.imf.org/en/Countries/UGA/uganda-qandas</w:t>
        </w:r>
      </w:hyperlink>
      <w:r>
        <w:t xml:space="preserve"> </w:t>
      </w:r>
    </w:p>
  </w:endnote>
  <w:endnote w:id="10">
    <w:p w14:paraId="08AA1862" w14:textId="77777777" w:rsidR="004E4A31" w:rsidRPr="00C41B7A" w:rsidRDefault="004E4A31" w:rsidP="004E4A31">
      <w:pPr>
        <w:pStyle w:val="EndnoteText"/>
      </w:pPr>
      <w:r>
        <w:rPr>
          <w:rStyle w:val="EndnoteReference"/>
        </w:rPr>
        <w:endnoteRef/>
      </w:r>
      <w:r>
        <w:t xml:space="preserve"> Center for Global Development, 2021. World Bank Budget Support in the Time of COVID: Crisis Finance… with Strings Attached. Available at. </w:t>
      </w:r>
      <w:hyperlink r:id="rId8" w:history="1">
        <w:r w:rsidRPr="00C41B7A">
          <w:rPr>
            <w:rStyle w:val="Hyperlink"/>
          </w:rPr>
          <w:t>https://www.cgdev.org/publication/world-bank-budget-support-time-covid-crisis-finance-strings-attached</w:t>
        </w:r>
      </w:hyperlink>
      <w:r>
        <w:t xml:space="preserve"> </w:t>
      </w:r>
    </w:p>
  </w:endnote>
  <w:endnote w:id="11">
    <w:p w14:paraId="4F80E004" w14:textId="77777777" w:rsidR="001668EF" w:rsidRPr="00115566" w:rsidRDefault="001668EF" w:rsidP="001668EF">
      <w:pPr>
        <w:pStyle w:val="EndnoteText"/>
        <w:rPr>
          <w:lang w:val="en-US"/>
        </w:rPr>
      </w:pPr>
      <w:r>
        <w:rPr>
          <w:rStyle w:val="EndnoteReference"/>
        </w:rPr>
        <w:endnoteRef/>
      </w:r>
      <w:r>
        <w:t xml:space="preserve"> </w:t>
      </w:r>
      <w:r>
        <w:rPr>
          <w:lang w:val="en-US"/>
        </w:rPr>
        <w:t xml:space="preserve">AfDB, May 2021. African Development Fund ranked among the world’s leading providers of development assistance. Accessed 20/09/2021. Available at: </w:t>
      </w:r>
      <w:hyperlink r:id="rId9" w:history="1">
        <w:r w:rsidRPr="005B40FE">
          <w:rPr>
            <w:rStyle w:val="Hyperlink"/>
            <w:lang w:val="en-US"/>
          </w:rPr>
          <w:t>https://www.afdb.org/en/news-and-events/press-releases/african-development-fund-ranked-among-worlds-leading-providers-development-assistance-43878</w:t>
        </w:r>
      </w:hyperlink>
      <w:r>
        <w:rPr>
          <w:lang w:val="en-US"/>
        </w:rPr>
        <w:t xml:space="preserve"> </w:t>
      </w:r>
    </w:p>
  </w:endnote>
  <w:endnote w:id="12">
    <w:p w14:paraId="1E1ED491" w14:textId="77777777" w:rsidR="001668EF" w:rsidRPr="00FA5BCA" w:rsidRDefault="001668EF" w:rsidP="00FA5BCA">
      <w:pPr>
        <w:pStyle w:val="EndnoteText"/>
        <w:rPr>
          <w:b/>
          <w:bCs/>
          <w:lang w:val="en-US"/>
        </w:rPr>
      </w:pPr>
      <w:r>
        <w:rPr>
          <w:rStyle w:val="EndnoteReference"/>
        </w:rPr>
        <w:endnoteRef/>
      </w:r>
      <w:r>
        <w:t xml:space="preserve"> </w:t>
      </w:r>
      <w:r w:rsidRPr="005071AE">
        <w:rPr>
          <w:lang w:val="en-US"/>
        </w:rPr>
        <w:t xml:space="preserve">AfDB, May 2021. </w:t>
      </w:r>
      <w:r w:rsidRPr="00FA5BCA">
        <w:rPr>
          <w:lang w:val="en-US"/>
        </w:rPr>
        <w:t>Uganda: African Development Fund approves $31.6 million loan for COVID-19 response</w:t>
      </w:r>
    </w:p>
    <w:p w14:paraId="1FCD93B9" w14:textId="77777777" w:rsidR="001668EF" w:rsidRPr="00115566" w:rsidRDefault="001668EF" w:rsidP="001668EF">
      <w:pPr>
        <w:pStyle w:val="EndnoteText"/>
        <w:rPr>
          <w:lang w:val="en-US"/>
        </w:rPr>
      </w:pPr>
      <w:r w:rsidRPr="00FA5BCA">
        <w:rPr>
          <w:lang w:val="en-US"/>
        </w:rPr>
        <w:t xml:space="preserve">Available at: </w:t>
      </w:r>
      <w:hyperlink r:id="rId10" w:history="1">
        <w:r w:rsidRPr="005B40FE">
          <w:rPr>
            <w:rStyle w:val="Hyperlink"/>
          </w:rPr>
          <w:t>https://www.afdb.org/en/news-and-events/press-releases/uganda-african-development-fund-approves-316-million-loan-covid-19-response-37030</w:t>
        </w:r>
      </w:hyperlink>
      <w:r>
        <w:t xml:space="preserve"> </w:t>
      </w:r>
    </w:p>
  </w:endnote>
  <w:endnote w:id="13">
    <w:p w14:paraId="6FCD5D01" w14:textId="77777777" w:rsidR="00601359" w:rsidRPr="00817581" w:rsidRDefault="00601359" w:rsidP="00601359">
      <w:pPr>
        <w:pStyle w:val="EndnoteText"/>
        <w:rPr>
          <w:lang w:val="en-US"/>
        </w:rPr>
      </w:pPr>
      <w:r>
        <w:rPr>
          <w:rStyle w:val="EndnoteReference"/>
        </w:rPr>
        <w:endnoteRef/>
      </w:r>
      <w:r>
        <w:t xml:space="preserve"> </w:t>
      </w:r>
      <w:r>
        <w:rPr>
          <w:lang w:val="en-US"/>
        </w:rPr>
        <w:t xml:space="preserve">IMF lending </w:t>
      </w:r>
      <w:hyperlink r:id="rId11" w:history="1">
        <w:r w:rsidRPr="004C368E">
          <w:rPr>
            <w:rStyle w:val="Hyperlink"/>
            <w:lang w:val="en-US"/>
          </w:rPr>
          <w:t>https://www.imf.org/en/About/Factsheets/IMF-Lending</w:t>
        </w:r>
      </w:hyperlink>
      <w:r>
        <w:rPr>
          <w:lang w:val="en-US"/>
        </w:rPr>
        <w:t xml:space="preserve"> </w:t>
      </w:r>
    </w:p>
  </w:endnote>
  <w:endnote w:id="14">
    <w:p w14:paraId="59ED603C" w14:textId="4097E28F" w:rsidR="00B65B52" w:rsidRPr="00FA5BCA" w:rsidRDefault="00B65B52" w:rsidP="00B65B52">
      <w:pPr>
        <w:pStyle w:val="EndnoteText"/>
      </w:pPr>
      <w:r>
        <w:rPr>
          <w:rStyle w:val="EndnoteReference"/>
        </w:rPr>
        <w:endnoteRef/>
      </w:r>
      <w:r>
        <w:t xml:space="preserve"> IMF, 2020. How will Uganda’s new IMF program advance the governance and anti-corruption agenda?</w:t>
      </w:r>
      <w:r w:rsidR="00FA5BCA">
        <w:t>. Available at:</w:t>
      </w:r>
      <w:r>
        <w:t xml:space="preserve"> </w:t>
      </w:r>
      <w:hyperlink r:id="rId12" w:history="1">
        <w:r>
          <w:rPr>
            <w:rStyle w:val="Hyperlink"/>
          </w:rPr>
          <w:t>https://www.imf.org/en/Countries/UGA/uganda-qandas</w:t>
        </w:r>
      </w:hyperlink>
    </w:p>
  </w:endnote>
  <w:endnote w:id="15">
    <w:p w14:paraId="297A719A" w14:textId="127F0A81" w:rsidR="004E4A31" w:rsidRPr="00595748" w:rsidRDefault="004E4A31" w:rsidP="004E4A31">
      <w:pPr>
        <w:pStyle w:val="EndnoteText"/>
      </w:pPr>
      <w:r>
        <w:rPr>
          <w:rStyle w:val="EndnoteReference"/>
        </w:rPr>
        <w:endnoteRef/>
      </w:r>
      <w:r>
        <w:t xml:space="preserve"> Center for Global Development, 2021. World Bank Budget Support in the Time of COVID: Crisis Finance… with Strings Attached. Available at</w:t>
      </w:r>
      <w:r w:rsidR="00FA5BCA">
        <w:t>:</w:t>
      </w:r>
      <w:r>
        <w:t xml:space="preserve"> </w:t>
      </w:r>
      <w:hyperlink r:id="rId13" w:history="1">
        <w:r w:rsidRPr="00C41B7A">
          <w:rPr>
            <w:rStyle w:val="Hyperlink"/>
          </w:rPr>
          <w:t>https://www.cgdev.org/publication/world-bank-budget-support-time-covid-crisis-finance-strings-attached</w:t>
        </w:r>
      </w:hyperlink>
      <w:r>
        <w:t xml:space="preserve"> </w:t>
      </w:r>
    </w:p>
  </w:endnote>
  <w:endnote w:id="16">
    <w:p w14:paraId="7F411B4F" w14:textId="3857B1F2" w:rsidR="00F17242" w:rsidRDefault="00F17242" w:rsidP="00F17242">
      <w:pPr>
        <w:pStyle w:val="EndnoteText"/>
        <w:rPr>
          <w:lang w:val="en-US"/>
        </w:rPr>
      </w:pPr>
      <w:r>
        <w:rPr>
          <w:rStyle w:val="EndnoteReference"/>
        </w:rPr>
        <w:endnoteRef/>
      </w:r>
      <w:r>
        <w:t xml:space="preserve"> </w:t>
      </w:r>
      <w:r>
        <w:rPr>
          <w:lang w:val="en-US"/>
        </w:rPr>
        <w:t xml:space="preserve">Ayoki, 2008. </w:t>
      </w:r>
      <w:r>
        <w:t>Institute of Policy Research and Analysis. Causes of slow and low disbursement in donor funded projects in Sub</w:t>
      </w:r>
      <w:r w:rsidR="00FA5BCA">
        <w:t>-</w:t>
      </w:r>
      <w:r>
        <w:t xml:space="preserve">Saharan Africa: Evidence from Uganda. Available at: </w:t>
      </w:r>
      <w:hyperlink r:id="rId14" w:history="1">
        <w:r>
          <w:rPr>
            <w:rStyle w:val="Hyperlink"/>
          </w:rPr>
          <w:t>https://mpra.ub.uni-muenchen.de/87106/</w:t>
        </w:r>
      </w:hyperlink>
      <w:r>
        <w:t xml:space="preserve"> </w:t>
      </w:r>
    </w:p>
  </w:endnote>
  <w:endnote w:id="17">
    <w:p w14:paraId="7FC1B1A9" w14:textId="77777777" w:rsidR="00F17242" w:rsidRPr="00C04B41" w:rsidRDefault="00F17242" w:rsidP="00F17242">
      <w:pPr>
        <w:pStyle w:val="EndnoteText"/>
        <w:rPr>
          <w:lang w:val="en-US"/>
        </w:rPr>
      </w:pPr>
      <w:r>
        <w:rPr>
          <w:rStyle w:val="EndnoteReference"/>
        </w:rPr>
        <w:endnoteRef/>
      </w:r>
      <w:r>
        <w:t xml:space="preserve"> Center for Global Development, 2021. World Bank Budget Support in the Time of COVID: Crisis Finance… with Strings Attached. Available at. </w:t>
      </w:r>
      <w:hyperlink r:id="rId15" w:history="1">
        <w:r w:rsidRPr="00C41B7A">
          <w:rPr>
            <w:rStyle w:val="Hyperlink"/>
          </w:rPr>
          <w:t>https://www.cgdev.org/publication/world-bank-budget-support-time-covid-crisis-finance-strings-attached</w:t>
        </w:r>
      </w:hyperlink>
    </w:p>
  </w:endnote>
  <w:endnote w:id="18">
    <w:p w14:paraId="7789CCB3" w14:textId="68E987BB" w:rsidR="00016F13" w:rsidRPr="00687691" w:rsidRDefault="00016F13" w:rsidP="00016F13">
      <w:pPr>
        <w:pStyle w:val="EndnoteText"/>
        <w:rPr>
          <w:lang w:val="en-US"/>
        </w:rPr>
      </w:pPr>
      <w:r>
        <w:rPr>
          <w:rStyle w:val="EndnoteReference"/>
        </w:rPr>
        <w:endnoteRef/>
      </w:r>
      <w:r>
        <w:t xml:space="preserve"> </w:t>
      </w:r>
      <w:hyperlink r:id="rId16" w:history="1">
        <w:r w:rsidRPr="00CC072D">
          <w:rPr>
            <w:rStyle w:val="Hyperlink"/>
          </w:rPr>
          <w:t>Analysis of aid flows</w:t>
        </w:r>
        <w:r w:rsidR="00EC138E">
          <w:rPr>
            <w:rStyle w:val="Hyperlink"/>
          </w:rPr>
          <w:t xml:space="preserve"> reported to IATI</w:t>
        </w:r>
        <w:r w:rsidRPr="00CC072D">
          <w:rPr>
            <w:rStyle w:val="Hyperlink"/>
          </w:rPr>
          <w:t xml:space="preserve"> before and during Covid-19</w:t>
        </w:r>
      </w:hyperlink>
      <w:r>
        <w:t xml:space="preserve"> showed that </w:t>
      </w:r>
      <w:r w:rsidR="00EC138E">
        <w:t>Uganda’s</w:t>
      </w:r>
      <w:r>
        <w:t xml:space="preserve"> </w:t>
      </w:r>
      <w:r w:rsidRPr="00232821">
        <w:t xml:space="preserve">health sector received the largest share (US$205 million) of bilateral grant </w:t>
      </w:r>
      <w:r>
        <w:t>a</w:t>
      </w:r>
      <w:r w:rsidRPr="00232821">
        <w:t>id disbursement</w:t>
      </w:r>
      <w:r>
        <w:t>s</w:t>
      </w:r>
      <w:r w:rsidRPr="00232821">
        <w:t xml:space="preserve"> in volume terms from </w:t>
      </w:r>
      <w:r w:rsidR="00EC138E">
        <w:t xml:space="preserve">a key set of </w:t>
      </w:r>
      <w:r w:rsidRPr="00232821">
        <w:t xml:space="preserve">bilateral donors in 2020 </w:t>
      </w:r>
    </w:p>
  </w:endnote>
  <w:endnote w:id="19">
    <w:p w14:paraId="1CBA66B6" w14:textId="01985CDE" w:rsidR="00E7385E" w:rsidRPr="00FA5BCA" w:rsidRDefault="00E7385E" w:rsidP="00E7385E">
      <w:pPr>
        <w:pStyle w:val="EndnoteText"/>
      </w:pPr>
      <w:r>
        <w:rPr>
          <w:rStyle w:val="EndnoteReference"/>
        </w:rPr>
        <w:endnoteRef/>
      </w:r>
      <w:r>
        <w:t xml:space="preserve"> </w:t>
      </w:r>
      <w:r>
        <w:rPr>
          <w:lang w:val="en-US"/>
        </w:rPr>
        <w:t xml:space="preserve">World Bank, 2021. </w:t>
      </w:r>
      <w:r>
        <w:t>Uganda C</w:t>
      </w:r>
      <w:r w:rsidR="001F62CA">
        <w:t>ovid</w:t>
      </w:r>
      <w:r>
        <w:t>-19 Economic Crisis and Recovery Development Policy Financing. Accessed 20/09/2021.</w:t>
      </w:r>
      <w:r w:rsidR="00FA5BCA">
        <w:t xml:space="preserve"> </w:t>
      </w:r>
      <w:r>
        <w:rPr>
          <w:lang w:val="en-US"/>
        </w:rPr>
        <w:t xml:space="preserve">Available at: </w:t>
      </w:r>
      <w:hyperlink r:id="rId17" w:history="1">
        <w:r w:rsidRPr="00F95E09">
          <w:rPr>
            <w:rStyle w:val="Hyperlink"/>
            <w:lang w:val="en-US"/>
          </w:rPr>
          <w:t>https://projects.worldbank.org/en/projects-operations/project-detail/P173906</w:t>
        </w:r>
      </w:hyperlink>
      <w:r>
        <w:rPr>
          <w:lang w:val="en-US"/>
        </w:rPr>
        <w:t xml:space="preserve"> </w:t>
      </w:r>
    </w:p>
  </w:endnote>
  <w:endnote w:id="20">
    <w:p w14:paraId="43ECD394" w14:textId="217B563A" w:rsidR="0042496E" w:rsidRPr="00DE36C7" w:rsidRDefault="0042496E" w:rsidP="0042496E">
      <w:pPr>
        <w:pStyle w:val="EndnoteText"/>
        <w:rPr>
          <w:lang w:val="en-US"/>
        </w:rPr>
      </w:pPr>
      <w:r>
        <w:rPr>
          <w:rStyle w:val="EndnoteReference"/>
        </w:rPr>
        <w:endnoteRef/>
      </w:r>
      <w:r>
        <w:t xml:space="preserve"> </w:t>
      </w:r>
      <w:r w:rsidR="00FA5BCA">
        <w:t xml:space="preserve">World Bank, </w:t>
      </w:r>
      <w:r w:rsidR="00FA5BCA" w:rsidRPr="00FA5BCA">
        <w:t>Uganda Intergovernmental Fiscal Transfers Program</w:t>
      </w:r>
      <w:r w:rsidR="00FA5BCA">
        <w:t xml:space="preserve">. </w:t>
      </w:r>
      <w:r w:rsidR="001F62CA">
        <w:t xml:space="preserve">Accessed 20/09/2021. </w:t>
      </w:r>
      <w:r w:rsidR="00FA5BCA">
        <w:t xml:space="preserve">Available at: </w:t>
      </w:r>
      <w:r w:rsidRPr="00DE36C7">
        <w:t>https://projects.worldbank.org/en/projects-operations/project-detail/P160250</w:t>
      </w:r>
    </w:p>
  </w:endnote>
  <w:endnote w:id="21">
    <w:p w14:paraId="6F7DA28A" w14:textId="77777777" w:rsidR="0042496E" w:rsidRDefault="0042496E" w:rsidP="0042496E">
      <w:pPr>
        <w:pStyle w:val="EndnoteText"/>
      </w:pPr>
      <w:r>
        <w:rPr>
          <w:rStyle w:val="EndnoteReference"/>
        </w:rPr>
        <w:endnoteRef/>
      </w:r>
      <w:r>
        <w:t xml:space="preserve"> World Bank, 2021. Uganda Support to Municipal Infrastructure Development Program</w:t>
      </w:r>
    </w:p>
    <w:p w14:paraId="41D176CD" w14:textId="77777777" w:rsidR="0042496E" w:rsidRPr="00C04B41" w:rsidRDefault="0042496E" w:rsidP="0042496E">
      <w:pPr>
        <w:pStyle w:val="EndnoteText"/>
        <w:rPr>
          <w:lang w:val="en-US"/>
        </w:rPr>
      </w:pPr>
      <w:r>
        <w:t xml:space="preserve">Accessed. 20/09/2021. Available at: </w:t>
      </w:r>
      <w:hyperlink r:id="rId18" w:history="1">
        <w:r w:rsidRPr="00F95E09">
          <w:rPr>
            <w:rStyle w:val="Hyperlink"/>
          </w:rPr>
          <w:t>https://projects.worldbank.org/en/projects-operations/projects-list?os=0&amp;qterm=P117876</w:t>
        </w:r>
      </w:hyperlink>
      <w:r>
        <w:t xml:space="preserve"> </w:t>
      </w:r>
    </w:p>
  </w:endnote>
  <w:endnote w:id="22">
    <w:p w14:paraId="59791EDA" w14:textId="4E2253A2" w:rsidR="00E7385E" w:rsidRPr="00DE36C7" w:rsidRDefault="00E7385E" w:rsidP="00E7385E">
      <w:pPr>
        <w:pStyle w:val="EndnoteText"/>
        <w:rPr>
          <w:lang w:val="en-US"/>
        </w:rPr>
      </w:pPr>
      <w:r>
        <w:rPr>
          <w:rStyle w:val="EndnoteReference"/>
        </w:rPr>
        <w:endnoteRef/>
      </w:r>
      <w:r>
        <w:t xml:space="preserve"> </w:t>
      </w:r>
      <w:r w:rsidR="001F62CA">
        <w:t xml:space="preserve">World Bank, </w:t>
      </w:r>
      <w:r w:rsidR="001F62CA" w:rsidRPr="00FA5BCA">
        <w:t>Uganda Intergovernmental Fiscal Transfers Program</w:t>
      </w:r>
      <w:r w:rsidR="001F62CA">
        <w:t xml:space="preserve">. Accessed 20/09/2021. Available at: </w:t>
      </w:r>
      <w:r w:rsidRPr="00DE36C7">
        <w:t>https://projects.worldbank.org/en/projects-operations/project-detail/P160250</w:t>
      </w:r>
    </w:p>
  </w:endnote>
  <w:endnote w:id="23">
    <w:p w14:paraId="48AE144A" w14:textId="4D2F5F67" w:rsidR="00E7385E" w:rsidRPr="00310135" w:rsidRDefault="00E7385E" w:rsidP="00E7385E">
      <w:pPr>
        <w:pStyle w:val="EndnoteText"/>
        <w:rPr>
          <w:lang w:val="en-US"/>
        </w:rPr>
      </w:pPr>
      <w:r>
        <w:rPr>
          <w:rStyle w:val="EndnoteReference"/>
        </w:rPr>
        <w:endnoteRef/>
      </w:r>
      <w:r>
        <w:t xml:space="preserve"> </w:t>
      </w:r>
      <w:r w:rsidRPr="00310135">
        <w:t xml:space="preserve">World Bank, 2021. </w:t>
      </w:r>
      <w:r w:rsidRPr="00E84C5E">
        <w:t xml:space="preserve">Uganda </w:t>
      </w:r>
      <w:r w:rsidRPr="00310135">
        <w:t>Reproductive, Maternal, and Child Health Services Improvement Project</w:t>
      </w:r>
      <w:r w:rsidRPr="00E84C5E">
        <w:t>. Accessed 20/09/2021.</w:t>
      </w:r>
      <w:r w:rsidR="001F62CA">
        <w:rPr>
          <w:lang w:val="en-US"/>
        </w:rPr>
        <w:t xml:space="preserve"> </w:t>
      </w:r>
      <w:r>
        <w:rPr>
          <w:lang w:val="en-US"/>
        </w:rPr>
        <w:t xml:space="preserve">Available at: </w:t>
      </w:r>
      <w:hyperlink r:id="rId19" w:history="1">
        <w:r w:rsidRPr="006F36EE">
          <w:rPr>
            <w:rStyle w:val="Hyperlink"/>
          </w:rPr>
          <w:t>https://projects.worldbank.org/en/projects-operations/project-detail/P155186</w:t>
        </w:r>
      </w:hyperlink>
      <w:r>
        <w:t xml:space="preserve"> </w:t>
      </w:r>
    </w:p>
  </w:endnote>
  <w:endnote w:id="24">
    <w:p w14:paraId="7F854A8D" w14:textId="1D81C65A" w:rsidR="00E7385E" w:rsidRPr="00310135" w:rsidRDefault="00E7385E" w:rsidP="00E7385E">
      <w:pPr>
        <w:pStyle w:val="EndnoteText"/>
        <w:rPr>
          <w:lang w:val="en-US"/>
        </w:rPr>
      </w:pPr>
      <w:r>
        <w:rPr>
          <w:rStyle w:val="EndnoteReference"/>
        </w:rPr>
        <w:endnoteRef/>
      </w:r>
      <w:r>
        <w:t xml:space="preserve"> </w:t>
      </w:r>
      <w:r>
        <w:rPr>
          <w:lang w:val="en-US"/>
        </w:rPr>
        <w:t xml:space="preserve">World Bank, 2021. </w:t>
      </w:r>
      <w:r>
        <w:t>Uganda C</w:t>
      </w:r>
      <w:r w:rsidR="001F62CA">
        <w:t>ovid</w:t>
      </w:r>
      <w:r>
        <w:t>-19 Economic Crisis and Recovery Development Policy Financing. Accessed 20/09/2021.</w:t>
      </w:r>
      <w:r w:rsidR="001F62CA">
        <w:rPr>
          <w:lang w:val="en-US"/>
        </w:rPr>
        <w:t xml:space="preserve"> </w:t>
      </w:r>
      <w:r>
        <w:rPr>
          <w:lang w:val="en-US"/>
        </w:rPr>
        <w:t xml:space="preserve">Available at: </w:t>
      </w:r>
      <w:hyperlink r:id="rId20" w:history="1">
        <w:r w:rsidRPr="00F95E09">
          <w:rPr>
            <w:rStyle w:val="Hyperlink"/>
            <w:lang w:val="en-US"/>
          </w:rPr>
          <w:t>https://projects.worldbank.org/en/projects-operations/project-detail/P173906</w:t>
        </w:r>
      </w:hyperlink>
    </w:p>
  </w:endnote>
  <w:endnote w:id="25">
    <w:p w14:paraId="5805E7CB" w14:textId="16A33FAB" w:rsidR="003425DB" w:rsidRPr="006B2FBA" w:rsidRDefault="003425DB" w:rsidP="003425DB">
      <w:pPr>
        <w:pStyle w:val="EndnoteText"/>
        <w:rPr>
          <w:lang w:val="en-US"/>
        </w:rPr>
      </w:pPr>
      <w:r>
        <w:rPr>
          <w:rStyle w:val="EndnoteReference"/>
        </w:rPr>
        <w:endnoteRef/>
      </w:r>
      <w:r>
        <w:t xml:space="preserve"> IMF, 2021. Frequently asked questions on Uganda. Accessed 20/09/2021. Available at: </w:t>
      </w:r>
      <w:hyperlink r:id="rId21" w:anchor="The%20IMF%20provided%20$491.5%20million%20to%20Uganda%20in%20May%202020%20under%20the%20Rapid%20Credit%20Facility;%20what%20transparency%20measures%20were%20put%20in%20place%20to%20ensure%20this%20funding%20is%20used%20appropriately" w:history="1">
        <w:r w:rsidR="00ED3C44" w:rsidRPr="00ED3C44">
          <w:rPr>
            <w:rStyle w:val="Hyperlink"/>
          </w:rPr>
          <w:t>https://www.imf.org/en/Countries/UGA/uganda-qandas#The%20IMF%20provided%20$491.5%20million%20to%20Uganda%20in%20May%202020%20under%20the%20Rapid%20Credit%20Facility;%20what%20transparency%20measures%20were%20put%20in%20place%20to%20ensure%20this%20funding%20is%20used%20appropriately</w:t>
        </w:r>
      </w:hyperlink>
      <w:r w:rsidR="00ED3C44">
        <w:t>?</w:t>
      </w:r>
      <w:r>
        <w:t xml:space="preserve"> </w:t>
      </w:r>
    </w:p>
  </w:endnote>
  <w:endnote w:id="26">
    <w:p w14:paraId="3C63989C" w14:textId="74F49E8B" w:rsidR="0012152C" w:rsidRPr="0012152C" w:rsidRDefault="0012152C">
      <w:pPr>
        <w:pStyle w:val="EndnoteText"/>
        <w:rPr>
          <w:lang w:val="en-US"/>
        </w:rPr>
      </w:pPr>
      <w:r>
        <w:rPr>
          <w:rStyle w:val="EndnoteReference"/>
        </w:rPr>
        <w:endnoteRef/>
      </w:r>
      <w:r w:rsidR="0033035D">
        <w:t xml:space="preserve"> IMF, 2021. </w:t>
      </w:r>
      <w:r w:rsidR="00ED3C44">
        <w:t xml:space="preserve">Frequently asked questions on Uganda. </w:t>
      </w:r>
      <w:r w:rsidR="0033035D">
        <w:t>Accessed 20/09/2021. Available at:</w:t>
      </w:r>
      <w:r>
        <w:t xml:space="preserve"> </w:t>
      </w:r>
      <w:hyperlink r:id="rId22" w:anchor="What%20are%20the%20goals%20of%20the%20Uganda%20program%20supported%20by%20the%20ECF" w:history="1">
        <w:r w:rsidRPr="004C368E">
          <w:rPr>
            <w:rStyle w:val="Hyperlink"/>
          </w:rPr>
          <w:t>https://www.imf.org/en/Countries/UGA/uganda-qandas#What%20are%20the%20goals%20of%20the%20Uganda%20program%20supported%20by%20the%20ECF</w:t>
        </w:r>
      </w:hyperlink>
      <w:r w:rsidR="00ED3C44">
        <w:rPr>
          <w:rStyle w:val="Hyperlink"/>
        </w:rPr>
        <w:t>?</w:t>
      </w:r>
      <w:r>
        <w:t xml:space="preserve"> </w:t>
      </w:r>
    </w:p>
  </w:endnote>
  <w:endnote w:id="27">
    <w:p w14:paraId="53BFADC2" w14:textId="67733D18" w:rsidR="001950F4" w:rsidRPr="0012152C" w:rsidRDefault="001950F4" w:rsidP="001950F4">
      <w:pPr>
        <w:pStyle w:val="EndnoteText"/>
        <w:rPr>
          <w:lang w:val="en-US"/>
        </w:rPr>
      </w:pPr>
      <w:r>
        <w:rPr>
          <w:rStyle w:val="EndnoteReference"/>
        </w:rPr>
        <w:endnoteRef/>
      </w:r>
      <w:r>
        <w:t xml:space="preserve"> IMF, 2021. Frequently asked questions on Uganda. Accessed 20/09/2021. Available at: </w:t>
      </w:r>
      <w:hyperlink r:id="rId23" w:anchor="What%20are%20the%20goals%20of%20the%20Uganda%20program%20supported%20by%20the%20ECF" w:history="1">
        <w:r w:rsidRPr="004C368E">
          <w:rPr>
            <w:rStyle w:val="Hyperlink"/>
          </w:rPr>
          <w:t>https://www.imf.org/en/Countries/UGA/uganda-qandas#What%20are%20the%20goals%20of%20the%20Uganda%20program%20supported%20by%20the%20ECF</w:t>
        </w:r>
      </w:hyperlink>
      <w:r w:rsidRPr="0012152C">
        <w:t>?</w:t>
      </w:r>
      <w:r>
        <w:t xml:space="preserve"> </w:t>
      </w:r>
    </w:p>
  </w:endnote>
  <w:endnote w:id="28">
    <w:p w14:paraId="55D42CFA" w14:textId="77777777" w:rsidR="00172FE4" w:rsidRDefault="00172FE4" w:rsidP="00172FE4">
      <w:pPr>
        <w:pStyle w:val="EndnoteText"/>
      </w:pPr>
      <w:r>
        <w:rPr>
          <w:rStyle w:val="EndnoteReference"/>
        </w:rPr>
        <w:endnoteRef/>
      </w:r>
      <w:r>
        <w:t xml:space="preserve"> </w:t>
      </w:r>
      <w:r>
        <w:rPr>
          <w:lang w:val="en-US"/>
        </w:rPr>
        <w:t xml:space="preserve">AfDB, </w:t>
      </w:r>
      <w:r>
        <w:t>Uganda - Markets and Agricultural Trade Improvement Programme: Project – 2 (MATIP-2)</w:t>
      </w:r>
    </w:p>
    <w:p w14:paraId="47CE55E0" w14:textId="4AFBB2A3" w:rsidR="00172FE4" w:rsidRPr="00C04B41" w:rsidRDefault="00172FE4" w:rsidP="00172FE4">
      <w:pPr>
        <w:pStyle w:val="EndnoteText"/>
        <w:rPr>
          <w:lang w:val="en-US"/>
        </w:rPr>
      </w:pPr>
      <w:r>
        <w:rPr>
          <w:lang w:val="en-US"/>
        </w:rPr>
        <w:t xml:space="preserve">Accessed 20/09/2021. Available at: </w:t>
      </w:r>
      <w:hyperlink r:id="rId24" w:history="1">
        <w:r w:rsidRPr="00F95E09">
          <w:rPr>
            <w:rStyle w:val="Hyperlink"/>
            <w:lang w:val="en-US"/>
          </w:rPr>
          <w:t>https://projectsportal.afdb.org/dataportal/VProject/show/P-UG-AAZ-002</w:t>
        </w:r>
      </w:hyperlink>
      <w:r>
        <w:rPr>
          <w:lang w:val="en-US"/>
        </w:rPr>
        <w:t xml:space="preserve"> </w:t>
      </w:r>
    </w:p>
  </w:endnote>
  <w:endnote w:id="29">
    <w:p w14:paraId="51C15129" w14:textId="77777777" w:rsidR="00172FE4" w:rsidRPr="00C04B41" w:rsidRDefault="00172FE4" w:rsidP="00172FE4">
      <w:pPr>
        <w:pStyle w:val="EndnoteText"/>
        <w:rPr>
          <w:lang w:val="en-US"/>
        </w:rPr>
      </w:pPr>
      <w:r>
        <w:rPr>
          <w:rStyle w:val="EndnoteReference"/>
        </w:rPr>
        <w:endnoteRef/>
      </w:r>
      <w:r>
        <w:t xml:space="preserve"> Ministry of local </w:t>
      </w:r>
      <w:r>
        <w:rPr>
          <w:lang w:val="en-US"/>
        </w:rPr>
        <w:t xml:space="preserve">Government, Uganda. </w:t>
      </w:r>
      <w:r>
        <w:t>Markets and Agricultural Trade Improvement Programme. Accessed 20/09/2021.</w:t>
      </w:r>
      <w:r>
        <w:rPr>
          <w:lang w:val="en-US"/>
        </w:rPr>
        <w:t xml:space="preserve"> Available at: </w:t>
      </w:r>
      <w:hyperlink r:id="rId25" w:history="1">
        <w:r w:rsidRPr="00F95E09">
          <w:rPr>
            <w:rStyle w:val="Hyperlink"/>
            <w:lang w:val="en-US"/>
          </w:rPr>
          <w:t>https://molg.go.ug/matip/</w:t>
        </w:r>
      </w:hyperlink>
      <w:r>
        <w:rPr>
          <w:lang w:val="en-US"/>
        </w:rPr>
        <w:t xml:space="preserve"> </w:t>
      </w:r>
    </w:p>
  </w:endnote>
  <w:endnote w:id="30">
    <w:p w14:paraId="0053631F" w14:textId="77777777" w:rsidR="00172FE4" w:rsidRPr="003466B0" w:rsidRDefault="00172FE4" w:rsidP="00172FE4">
      <w:pPr>
        <w:pStyle w:val="EndnoteText"/>
      </w:pPr>
      <w:r>
        <w:rPr>
          <w:rStyle w:val="EndnoteReference"/>
        </w:rPr>
        <w:endnoteRef/>
      </w:r>
      <w:r>
        <w:t xml:space="preserve"> </w:t>
      </w:r>
      <w:r>
        <w:rPr>
          <w:lang w:val="en-US"/>
        </w:rPr>
        <w:t xml:space="preserve">AfDB. </w:t>
      </w:r>
      <w:r>
        <w:t xml:space="preserve">Uganda - Water Supply and Sanitation Programme - Phase II. Accessed 20/09/2021. Available at: </w:t>
      </w:r>
      <w:hyperlink r:id="rId26" w:history="1">
        <w:r w:rsidRPr="00F95E09">
          <w:rPr>
            <w:rStyle w:val="Hyperlink"/>
          </w:rPr>
          <w:t>https://projectsportal.afdb.org/dataportal/VProject/show/P-UG-E00-012</w:t>
        </w:r>
      </w:hyperlink>
      <w:r>
        <w:t xml:space="preserve"> </w:t>
      </w:r>
    </w:p>
  </w:endnote>
  <w:endnote w:id="31">
    <w:p w14:paraId="1A0E4BD8" w14:textId="77777777" w:rsidR="00172FE4" w:rsidRDefault="00172FE4" w:rsidP="00172FE4">
      <w:pPr>
        <w:pStyle w:val="EndnoteText"/>
      </w:pPr>
      <w:r>
        <w:rPr>
          <w:rStyle w:val="EndnoteReference"/>
        </w:rPr>
        <w:endnoteRef/>
      </w:r>
      <w:r>
        <w:t xml:space="preserve"> </w:t>
      </w:r>
      <w:r>
        <w:rPr>
          <w:lang w:val="en-US"/>
        </w:rPr>
        <w:t xml:space="preserve">AfDB, 2021. </w:t>
      </w:r>
      <w:r>
        <w:t>Uganda - Support to Higher Education, Science and Technology (HEST) Project</w:t>
      </w:r>
    </w:p>
    <w:p w14:paraId="31805E0F" w14:textId="3500E6CA" w:rsidR="00172FE4" w:rsidRPr="00C04B41" w:rsidRDefault="00172FE4" w:rsidP="00172FE4">
      <w:pPr>
        <w:pStyle w:val="EndnoteText"/>
        <w:rPr>
          <w:lang w:val="en-US"/>
        </w:rPr>
      </w:pPr>
      <w:r>
        <w:rPr>
          <w:lang w:val="en-US"/>
        </w:rPr>
        <w:t xml:space="preserve">Accessed 20/09/2021. Available at: </w:t>
      </w:r>
      <w:hyperlink r:id="rId27" w:history="1">
        <w:r w:rsidR="00ED3C44" w:rsidRPr="00ED3C44">
          <w:rPr>
            <w:rStyle w:val="Hyperlink"/>
          </w:rPr>
          <w:t>https://projectsportal.afdb.org/dataportal/VProject/show/P-UG-IAD-001</w:t>
        </w:r>
      </w:hyperlink>
      <w:r>
        <w:t xml:space="preserve"> </w:t>
      </w:r>
    </w:p>
  </w:endnote>
  <w:endnote w:id="32">
    <w:p w14:paraId="24A53D53" w14:textId="77777777" w:rsidR="00172FE4" w:rsidRPr="003466B0" w:rsidRDefault="00172FE4" w:rsidP="00172FE4">
      <w:pPr>
        <w:pStyle w:val="EndnoteText"/>
      </w:pPr>
      <w:r>
        <w:rPr>
          <w:rStyle w:val="EndnoteReference"/>
        </w:rPr>
        <w:endnoteRef/>
      </w:r>
      <w:r>
        <w:t xml:space="preserve"> </w:t>
      </w:r>
      <w:r>
        <w:rPr>
          <w:lang w:val="en-US"/>
        </w:rPr>
        <w:t xml:space="preserve">AfDB, 2021. </w:t>
      </w:r>
      <w:r>
        <w:t xml:space="preserve">Uganda - Farm Income Enhancement and Forestry Conservation Programme - Project 2. Accessed 20/09/2021. Available at: </w:t>
      </w:r>
      <w:hyperlink r:id="rId28" w:history="1">
        <w:r w:rsidRPr="00F95E09">
          <w:rPr>
            <w:rStyle w:val="Hyperlink"/>
          </w:rPr>
          <w:t>https://projectsportal.afdb.org/dataportal/VProject/show/P-UG-AAD-001</w:t>
        </w:r>
      </w:hyperlink>
      <w:r>
        <w:t xml:space="preserve"> </w:t>
      </w:r>
    </w:p>
  </w:endnote>
  <w:endnote w:id="33">
    <w:p w14:paraId="722E56F7" w14:textId="7EA2A979" w:rsidR="00172FE4" w:rsidRPr="00DB0D5F" w:rsidRDefault="00172FE4" w:rsidP="00172FE4">
      <w:pPr>
        <w:pStyle w:val="EndnoteText"/>
      </w:pPr>
      <w:r>
        <w:rPr>
          <w:rStyle w:val="EndnoteReference"/>
        </w:rPr>
        <w:endnoteRef/>
      </w:r>
      <w:r>
        <w:t xml:space="preserve"> </w:t>
      </w:r>
      <w:r>
        <w:rPr>
          <w:lang w:val="en-US"/>
        </w:rPr>
        <w:t xml:space="preserve">AfDB, 2021. </w:t>
      </w:r>
      <w:r>
        <w:t xml:space="preserve">Uganda - Road Sector Support Project V. Accessed 20/09/2021. Available at: </w:t>
      </w:r>
      <w:hyperlink r:id="rId29" w:history="1">
        <w:r w:rsidRPr="00F95E09">
          <w:rPr>
            <w:rStyle w:val="Hyperlink"/>
          </w:rPr>
          <w:t>https://projectsportal.afdb.org/dataportal/VProject/show/P-UG-DB0-022</w:t>
        </w:r>
      </w:hyperlink>
      <w:r>
        <w:t xml:space="preserve"> </w:t>
      </w:r>
    </w:p>
  </w:endnote>
  <w:endnote w:id="34">
    <w:p w14:paraId="557622CD" w14:textId="50A80435" w:rsidR="008E627C" w:rsidRPr="008E627C" w:rsidRDefault="008E627C">
      <w:pPr>
        <w:pStyle w:val="EndnoteText"/>
        <w:rPr>
          <w:lang w:val="en-US"/>
        </w:rPr>
      </w:pPr>
      <w:r>
        <w:rPr>
          <w:rStyle w:val="EndnoteReference"/>
        </w:rPr>
        <w:endnoteRef/>
      </w:r>
      <w:r>
        <w:t xml:space="preserve"> </w:t>
      </w:r>
      <w:r w:rsidR="00587663">
        <w:t xml:space="preserve">Ministry of Finance, report on public debt, guarantees, other financial liabilities and grants for FY2019/20 and the medium term debt management strategy 2020/21-2023/24. Accessed 20/09/2021. </w:t>
      </w:r>
      <w:r w:rsidRPr="007E302D">
        <w:t xml:space="preserve">Available at: </w:t>
      </w:r>
      <w:hyperlink r:id="rId30" w:history="1">
        <w:r w:rsidR="00587663" w:rsidRPr="00630528">
          <w:rPr>
            <w:rStyle w:val="Hyperlink"/>
          </w:rPr>
          <w:t>https://www.finance.go.ug/publication/report-public-debt-guarantees-other-financial-liabilities-and-grants-fy-201920-and</w:t>
        </w:r>
      </w:hyperlink>
      <w:r w:rsidR="00587663" w:rsidRPr="00425FC2" w:rsidDel="00587663">
        <w:t xml:space="preserve"> </w:t>
      </w:r>
    </w:p>
  </w:endnote>
  <w:endnote w:id="35">
    <w:p w14:paraId="4749A41F" w14:textId="1CF5EA88" w:rsidR="008E627C" w:rsidRPr="008E627C" w:rsidRDefault="008E627C" w:rsidP="008E627C">
      <w:pPr>
        <w:pStyle w:val="EndnoteText"/>
        <w:rPr>
          <w:lang w:val="en-US"/>
        </w:rPr>
      </w:pPr>
      <w:r>
        <w:rPr>
          <w:rStyle w:val="EndnoteReference"/>
        </w:rPr>
        <w:endnoteRef/>
      </w:r>
      <w:r>
        <w:t xml:space="preserve"> </w:t>
      </w:r>
      <w:r w:rsidR="005B0F82">
        <w:t xml:space="preserve">EPRC, 2019. Fiscal policy and public debt sustainability in Uganda. Accessed 19/09/2021. </w:t>
      </w:r>
      <w:r>
        <w:rPr>
          <w:lang w:val="en-US"/>
        </w:rPr>
        <w:t xml:space="preserve">Available at: </w:t>
      </w:r>
      <w:hyperlink r:id="rId31" w:history="1">
        <w:r w:rsidR="005B0F82" w:rsidRPr="00ED3C44">
          <w:rPr>
            <w:rStyle w:val="Hyperlink"/>
            <w:lang w:val="en-US"/>
          </w:rPr>
          <w:t>https://eprcug.org/publication/fiscal-policy-and-public-debt-sustainability-in-uganda-2/</w:t>
        </w:r>
      </w:hyperlink>
    </w:p>
  </w:endnote>
  <w:endnote w:id="36">
    <w:p w14:paraId="6F6C8BA5" w14:textId="7DE04AE8" w:rsidR="00ED6FBB" w:rsidRPr="001F0EC6" w:rsidRDefault="00ED6FBB">
      <w:pPr>
        <w:pStyle w:val="EndnoteText"/>
        <w:rPr>
          <w:lang w:val="en-US"/>
        </w:rPr>
      </w:pPr>
      <w:r>
        <w:rPr>
          <w:rStyle w:val="EndnoteReference"/>
        </w:rPr>
        <w:endnoteRef/>
      </w:r>
      <w:r>
        <w:t xml:space="preserve"> Bank of Uganda, June 2021. State of the economy report. Available at: </w:t>
      </w:r>
      <w:hyperlink r:id="rId32" w:history="1">
        <w:r w:rsidRPr="009812C4">
          <w:rPr>
            <w:rStyle w:val="Hyperlink"/>
          </w:rPr>
          <w:t>https://www.bou.or.ug/bou/bouwebsite/RelatedPages/Publications/article-v2/State-of-Economy-Report-June-2021/</w:t>
        </w:r>
      </w:hyperlink>
      <w:r>
        <w:t xml:space="preserve"> </w:t>
      </w:r>
    </w:p>
  </w:endnote>
  <w:endnote w:id="37">
    <w:p w14:paraId="07168C5D" w14:textId="414C7BD8" w:rsidR="00AE1E58" w:rsidRPr="00AE1E58" w:rsidRDefault="00AE1E58">
      <w:pPr>
        <w:pStyle w:val="EndnoteText"/>
        <w:rPr>
          <w:lang w:val="en-US"/>
        </w:rPr>
      </w:pPr>
      <w:r>
        <w:rPr>
          <w:rStyle w:val="EndnoteReference"/>
        </w:rPr>
        <w:endnoteRef/>
      </w:r>
      <w:r>
        <w:t xml:space="preserve"> The Independent, October 21, 2019. Uganda economy gets bigger by 20%. Accessed 23/09/2021. </w:t>
      </w:r>
      <w:r>
        <w:rPr>
          <w:lang w:val="en-US"/>
        </w:rPr>
        <w:t xml:space="preserve">Available at: </w:t>
      </w:r>
      <w:hyperlink r:id="rId33" w:history="1">
        <w:r w:rsidRPr="00EB5AF2">
          <w:rPr>
            <w:rStyle w:val="Hyperlink"/>
            <w:lang w:val="en-US"/>
          </w:rPr>
          <w:t>https://www.independent.co.ug/uganda-economy-gets-bigger-by-20/</w:t>
        </w:r>
      </w:hyperlink>
      <w:r>
        <w:rPr>
          <w:lang w:val="en-US"/>
        </w:rPr>
        <w:t xml:space="preserve"> </w:t>
      </w:r>
    </w:p>
  </w:endnote>
  <w:endnote w:id="38">
    <w:p w14:paraId="4C81A9EA" w14:textId="2E37F519" w:rsidR="002D052C" w:rsidRPr="002D052C" w:rsidRDefault="002D052C">
      <w:pPr>
        <w:pStyle w:val="EndnoteText"/>
        <w:rPr>
          <w:lang w:val="en-US"/>
        </w:rPr>
      </w:pPr>
      <w:r>
        <w:rPr>
          <w:rStyle w:val="EndnoteReference"/>
        </w:rPr>
        <w:endnoteRef/>
      </w:r>
      <w:r>
        <w:t xml:space="preserve"> </w:t>
      </w:r>
      <w:r>
        <w:rPr>
          <w:lang w:val="en-US"/>
        </w:rPr>
        <w:t>The Independent. June 16, 2021. Bank of Uganda warns ministry of finance over high debt levels. Accessed 23/09/2021. Available at</w:t>
      </w:r>
      <w:r w:rsidR="00ED3C44">
        <w:rPr>
          <w:lang w:val="en-US"/>
        </w:rPr>
        <w:t>:</w:t>
      </w:r>
      <w:r>
        <w:rPr>
          <w:lang w:val="en-US"/>
        </w:rPr>
        <w:t xml:space="preserve"> </w:t>
      </w:r>
      <w:hyperlink r:id="rId34" w:history="1">
        <w:r w:rsidRPr="00EB5AF2">
          <w:rPr>
            <w:rStyle w:val="Hyperlink"/>
            <w:lang w:val="en-US"/>
          </w:rPr>
          <w:t>https://www.independent.co.ug/bank-of-uganda-warns-finance-ministry-over-high-debt-levels/</w:t>
        </w:r>
      </w:hyperlink>
      <w:r>
        <w:rPr>
          <w:lang w:val="en-US"/>
        </w:rPr>
        <w:t xml:space="preserve"> </w:t>
      </w:r>
    </w:p>
  </w:endnote>
  <w:endnote w:id="39">
    <w:p w14:paraId="21216937" w14:textId="33C27B93" w:rsidR="002D052C" w:rsidRPr="002D052C" w:rsidRDefault="002D052C">
      <w:pPr>
        <w:pStyle w:val="EndnoteText"/>
        <w:rPr>
          <w:lang w:val="en-US"/>
        </w:rPr>
      </w:pPr>
      <w:r>
        <w:rPr>
          <w:rStyle w:val="EndnoteReference"/>
        </w:rPr>
        <w:endnoteRef/>
      </w:r>
      <w:r>
        <w:t xml:space="preserve"> </w:t>
      </w:r>
      <w:r>
        <w:rPr>
          <w:lang w:val="en-US"/>
        </w:rPr>
        <w:t xml:space="preserve">Reuters. September 22, 2020. Uganda’s public debt surges in coronavirus, central bank says. Accessed 23/09/2021. Available at: </w:t>
      </w:r>
      <w:hyperlink r:id="rId35" w:history="1">
        <w:r w:rsidRPr="00EB5AF2">
          <w:rPr>
            <w:rStyle w:val="Hyperlink"/>
            <w:lang w:val="en-US"/>
          </w:rPr>
          <w:t>https://www.reuters.com/article/uganda-debt-idUSL5N2GJ5DJ</w:t>
        </w:r>
      </w:hyperlink>
      <w:r>
        <w:rPr>
          <w:lang w:val="en-US"/>
        </w:rPr>
        <w:t xml:space="preserve"> </w:t>
      </w:r>
    </w:p>
  </w:endnote>
  <w:endnote w:id="40">
    <w:p w14:paraId="66362901" w14:textId="470B98C8" w:rsidR="002D052C" w:rsidRPr="002D052C" w:rsidRDefault="002D052C">
      <w:pPr>
        <w:pStyle w:val="EndnoteText"/>
        <w:rPr>
          <w:b/>
          <w:bCs/>
          <w:lang w:val="en-US"/>
        </w:rPr>
      </w:pPr>
      <w:r>
        <w:rPr>
          <w:rStyle w:val="EndnoteReference"/>
        </w:rPr>
        <w:endnoteRef/>
      </w:r>
      <w:r>
        <w:t xml:space="preserve"> </w:t>
      </w:r>
      <w:r>
        <w:rPr>
          <w:lang w:val="en-US"/>
        </w:rPr>
        <w:t xml:space="preserve">Daily Monitor newspaper. Friday March 12, 2021. Uganda debt exceeding limit – AG wants government. Accessed 23/09/2021. Available at: </w:t>
      </w:r>
      <w:hyperlink r:id="rId36" w:history="1">
        <w:r w:rsidRPr="00EB5AF2">
          <w:rPr>
            <w:rStyle w:val="Hyperlink"/>
            <w:lang w:val="en-US"/>
          </w:rPr>
          <w:t>https://www.independent.co.ug/bank-of-uganda-warns-finance-ministry-over-high-debt-levels/</w:t>
        </w:r>
      </w:hyperlink>
      <w:r>
        <w:rPr>
          <w:lang w:val="en-US"/>
        </w:rPr>
        <w:t xml:space="preserve"> </w:t>
      </w:r>
    </w:p>
  </w:endnote>
  <w:endnote w:id="41">
    <w:p w14:paraId="1217C3B9" w14:textId="7AA5DDD1" w:rsidR="00A72202" w:rsidRPr="00A72202" w:rsidRDefault="00A72202">
      <w:pPr>
        <w:pStyle w:val="EndnoteText"/>
        <w:rPr>
          <w:lang w:val="en-US"/>
        </w:rPr>
      </w:pPr>
      <w:r>
        <w:rPr>
          <w:rStyle w:val="EndnoteReference"/>
        </w:rPr>
        <w:endnoteRef/>
      </w:r>
      <w:r>
        <w:t xml:space="preserve"> </w:t>
      </w:r>
      <w:r>
        <w:rPr>
          <w:lang w:val="en-US"/>
        </w:rPr>
        <w:t xml:space="preserve">Chimpsreports. October 26, 2020. CSOs warn government of borrowing as debt stock hits 56.5 trillion. Accessed 23/09/2021. Available at: </w:t>
      </w:r>
      <w:hyperlink r:id="rId37" w:history="1">
        <w:r w:rsidRPr="00EB5AF2">
          <w:rPr>
            <w:rStyle w:val="Hyperlink"/>
            <w:lang w:val="en-US"/>
          </w:rPr>
          <w:t>https://chimpreports.com/csos-warn-govt-on-borrowing-as-debt-stock-hits-shs-56-5-trillion/</w:t>
        </w:r>
      </w:hyperlink>
      <w:r>
        <w:rPr>
          <w:lang w:val="en-US"/>
        </w:rPr>
        <w:t xml:space="preserve"> </w:t>
      </w:r>
    </w:p>
  </w:endnote>
  <w:endnote w:id="42">
    <w:p w14:paraId="02C1D649" w14:textId="1703BB18" w:rsidR="0075007F" w:rsidRPr="0075007F" w:rsidRDefault="0075007F">
      <w:pPr>
        <w:pStyle w:val="EndnoteText"/>
        <w:rPr>
          <w:lang w:val="en-US"/>
        </w:rPr>
      </w:pPr>
      <w:r>
        <w:rPr>
          <w:rStyle w:val="EndnoteReference"/>
        </w:rPr>
        <w:endnoteRef/>
      </w:r>
      <w:r>
        <w:t xml:space="preserve"> </w:t>
      </w:r>
      <w:r>
        <w:rPr>
          <w:lang w:val="en-US"/>
        </w:rPr>
        <w:t xml:space="preserve">The </w:t>
      </w:r>
      <w:r w:rsidR="00ED3C44">
        <w:rPr>
          <w:lang w:val="en-US"/>
        </w:rPr>
        <w:t>I</w:t>
      </w:r>
      <w:r>
        <w:rPr>
          <w:lang w:val="en-US"/>
        </w:rPr>
        <w:t xml:space="preserve">ndependent. March 26, 2021. Uganda’s domestic debt breaks ceiling, CSO urge IMF to release reserves. Accessed 23/09/2021. Available at: </w:t>
      </w:r>
      <w:hyperlink r:id="rId38" w:history="1">
        <w:r w:rsidRPr="00EB5AF2">
          <w:rPr>
            <w:rStyle w:val="Hyperlink"/>
            <w:lang w:val="en-US"/>
          </w:rPr>
          <w:t>https://www.independent.co.ug/ugandas-domestic-debt-breaks-ceiling-csos-urge-imf-to-release-reserves/</w:t>
        </w:r>
      </w:hyperlink>
      <w:r>
        <w:rPr>
          <w:lang w:val="en-US"/>
        </w:rPr>
        <w:t xml:space="preserve"> </w:t>
      </w:r>
    </w:p>
  </w:endnote>
  <w:endnote w:id="43">
    <w:p w14:paraId="75514E55" w14:textId="5E3994D9" w:rsidR="00642070" w:rsidRPr="00642070" w:rsidRDefault="00642070">
      <w:pPr>
        <w:pStyle w:val="EndnoteText"/>
        <w:rPr>
          <w:lang w:val="en-US"/>
        </w:rPr>
      </w:pPr>
      <w:r>
        <w:rPr>
          <w:rStyle w:val="EndnoteReference"/>
        </w:rPr>
        <w:endnoteRef/>
      </w:r>
      <w:r>
        <w:t xml:space="preserve"> </w:t>
      </w:r>
      <w:r w:rsidR="00D26332">
        <w:t xml:space="preserve">World Bank, 2020. Joint World Bank-IMF Debt Sustainability Analysis. </w:t>
      </w:r>
      <w:r>
        <w:t xml:space="preserve">Available at: </w:t>
      </w:r>
      <w:hyperlink r:id="rId39" w:history="1">
        <w:r w:rsidRPr="00EB5AF2">
          <w:rPr>
            <w:rStyle w:val="Hyperlink"/>
          </w:rPr>
          <w:t>https://documents1.worldbank.org/curated/en/687621596233318202/pdf/Uganda-Joint-World-Bank-IMF-Debt-Sustainability-Analysis.pdf</w:t>
        </w:r>
      </w:hyperlink>
      <w:r>
        <w:t xml:space="preserve"> </w:t>
      </w:r>
    </w:p>
  </w:endnote>
  <w:endnote w:id="44">
    <w:p w14:paraId="58D28EAD" w14:textId="322DEB62" w:rsidR="006D1205" w:rsidRPr="006D1205" w:rsidRDefault="006D1205">
      <w:pPr>
        <w:pStyle w:val="EndnoteText"/>
        <w:rPr>
          <w:lang w:val="en-US"/>
        </w:rPr>
      </w:pPr>
      <w:r>
        <w:rPr>
          <w:rStyle w:val="EndnoteReference"/>
        </w:rPr>
        <w:endnoteRef/>
      </w:r>
      <w:r>
        <w:t xml:space="preserve"> </w:t>
      </w:r>
      <w:r w:rsidR="005B0F82">
        <w:t xml:space="preserve">World Bank, 2021. </w:t>
      </w:r>
      <w:r w:rsidR="00D26332">
        <w:t>Joint World Bank-IMF Debt Sustainability Analysis</w:t>
      </w:r>
      <w:r w:rsidR="00A14062">
        <w:t xml:space="preserve">. Accessed 23/09/2021. Available at: </w:t>
      </w:r>
      <w:hyperlink r:id="rId40" w:history="1">
        <w:r w:rsidR="00A14062" w:rsidRPr="002C50BB">
          <w:rPr>
            <w:rStyle w:val="Hyperlink"/>
          </w:rPr>
          <w:t>https://documents.worldbank.org/en/publication/documents-reports/documentdetail/693991625855172394/uganda-joint-world-bank-imf-debt-sustainability-analysis</w:t>
        </w:r>
      </w:hyperlink>
      <w:r w:rsidR="00A14062">
        <w:t xml:space="preserve"> </w:t>
      </w:r>
    </w:p>
  </w:endnote>
  <w:endnote w:id="45">
    <w:p w14:paraId="73FDB9F2" w14:textId="77777777" w:rsidR="0075007F" w:rsidRPr="00A72202" w:rsidRDefault="0075007F" w:rsidP="0075007F">
      <w:pPr>
        <w:pStyle w:val="EndnoteText"/>
        <w:rPr>
          <w:lang w:val="en-US"/>
        </w:rPr>
      </w:pPr>
      <w:r>
        <w:rPr>
          <w:rStyle w:val="EndnoteReference"/>
        </w:rPr>
        <w:endnoteRef/>
      </w:r>
      <w:r>
        <w:t xml:space="preserve"> </w:t>
      </w:r>
      <w:r>
        <w:rPr>
          <w:lang w:val="en-US"/>
        </w:rPr>
        <w:t xml:space="preserve">Chimpsreports. October 26, 2020. CSOs warn government of borrowing as debt stock hits 56.5 trillion. Accessed 23/09/2021. Available at: </w:t>
      </w:r>
      <w:hyperlink r:id="rId41" w:history="1">
        <w:r w:rsidRPr="00EB5AF2">
          <w:rPr>
            <w:rStyle w:val="Hyperlink"/>
            <w:lang w:val="en-US"/>
          </w:rPr>
          <w:t>https://chimpreports.com/csos-warn-govt-on-borrowing-as-debt-stock-hits-shs-56-5-trillion/</w:t>
        </w:r>
      </w:hyperlink>
      <w:r>
        <w:rPr>
          <w:lang w:val="en-US"/>
        </w:rPr>
        <w:t xml:space="preserve"> </w:t>
      </w:r>
    </w:p>
  </w:endnote>
  <w:endnote w:id="46">
    <w:p w14:paraId="79106784" w14:textId="289A0FE9" w:rsidR="005D2410" w:rsidRPr="0075007F" w:rsidRDefault="005D2410" w:rsidP="005D2410">
      <w:pPr>
        <w:pStyle w:val="EndnoteText"/>
        <w:rPr>
          <w:lang w:val="en-US"/>
        </w:rPr>
      </w:pPr>
      <w:r>
        <w:rPr>
          <w:rStyle w:val="EndnoteReference"/>
        </w:rPr>
        <w:endnoteRef/>
      </w:r>
      <w:r>
        <w:t xml:space="preserve"> </w:t>
      </w:r>
      <w:r>
        <w:rPr>
          <w:lang w:val="en-US"/>
        </w:rPr>
        <w:t xml:space="preserve">The </w:t>
      </w:r>
      <w:r w:rsidR="00D26332">
        <w:rPr>
          <w:lang w:val="en-US"/>
        </w:rPr>
        <w:t>I</w:t>
      </w:r>
      <w:r>
        <w:rPr>
          <w:lang w:val="en-US"/>
        </w:rPr>
        <w:t xml:space="preserve">ndependent. March 26, 2021. Uganda’s domestic debt breaks ceiling, CSO urge IMF to release reserves. Accessed 23/09/2021. Available at: </w:t>
      </w:r>
      <w:hyperlink r:id="rId42" w:history="1">
        <w:r w:rsidRPr="00EB5AF2">
          <w:rPr>
            <w:rStyle w:val="Hyperlink"/>
            <w:lang w:val="en-US"/>
          </w:rPr>
          <w:t>https://www.independent.co.ug/ugandas-domestic-debt-breaks-ceiling-csos-urge-imf-to-release-reserves/</w:t>
        </w:r>
      </w:hyperlink>
      <w:r>
        <w:rPr>
          <w:lang w:val="en-US"/>
        </w:rPr>
        <w:t xml:space="preserve"> </w:t>
      </w:r>
    </w:p>
  </w:endnote>
  <w:endnote w:id="47">
    <w:p w14:paraId="2D49B3A4" w14:textId="396125BA" w:rsidR="006D1205" w:rsidRPr="006D1205" w:rsidRDefault="006D1205">
      <w:pPr>
        <w:pStyle w:val="EndnoteText"/>
        <w:rPr>
          <w:lang w:val="en-US"/>
        </w:rPr>
      </w:pPr>
      <w:r>
        <w:rPr>
          <w:rStyle w:val="EndnoteReference"/>
        </w:rPr>
        <w:endnoteRef/>
      </w:r>
      <w:r>
        <w:t xml:space="preserve"> </w:t>
      </w:r>
      <w:r>
        <w:rPr>
          <w:lang w:val="en-US"/>
        </w:rPr>
        <w:t>Office of the Auditor General</w:t>
      </w:r>
      <w:r w:rsidR="000501F0">
        <w:rPr>
          <w:lang w:val="en-US"/>
        </w:rPr>
        <w:t>, 2015. Management of Public Debt.</w:t>
      </w:r>
      <w:r>
        <w:rPr>
          <w:lang w:val="en-US"/>
        </w:rPr>
        <w:t xml:space="preserve"> </w:t>
      </w:r>
      <w:hyperlink r:id="rId43" w:history="1">
        <w:r w:rsidRPr="00EB5AF2">
          <w:rPr>
            <w:rStyle w:val="Hyperlink"/>
            <w:lang w:val="en-US"/>
          </w:rPr>
          <w:t>http://www.oag.go.ug/wp-content/uploads/2016/07/Management-of-Public-Debt.pdf</w:t>
        </w:r>
      </w:hyperlink>
      <w:r>
        <w:rPr>
          <w:lang w:val="en-US"/>
        </w:rPr>
        <w:t xml:space="preserve"> </w:t>
      </w:r>
    </w:p>
  </w:endnote>
  <w:endnote w:id="48">
    <w:p w14:paraId="713445FF" w14:textId="0CB771FA" w:rsidR="00A42953" w:rsidRDefault="00A42953">
      <w:pPr>
        <w:pStyle w:val="EndnoteText"/>
      </w:pPr>
      <w:r>
        <w:rPr>
          <w:rStyle w:val="EndnoteReference"/>
        </w:rPr>
        <w:endnoteRef/>
      </w:r>
      <w:r>
        <w:t xml:space="preserve"> Ministry of Finance</w:t>
      </w:r>
      <w:r w:rsidR="000501F0">
        <w:t>,</w:t>
      </w:r>
      <w:r>
        <w:t xml:space="preserve"> 2021. Medium</w:t>
      </w:r>
      <w:r w:rsidR="000501F0">
        <w:t>-</w:t>
      </w:r>
      <w:r>
        <w:t xml:space="preserve">term </w:t>
      </w:r>
      <w:r w:rsidR="000501F0">
        <w:t>D</w:t>
      </w:r>
      <w:r>
        <w:t xml:space="preserve">ebt </w:t>
      </w:r>
      <w:r w:rsidR="000501F0">
        <w:t>M</w:t>
      </w:r>
      <w:r>
        <w:t xml:space="preserve">anagement </w:t>
      </w:r>
      <w:r w:rsidR="000501F0">
        <w:t>S</w:t>
      </w:r>
      <w:r>
        <w:t xml:space="preserve">trategy 2021/22-2024/25 </w:t>
      </w:r>
      <w:hyperlink r:id="rId44" w:history="1">
        <w:r w:rsidR="005727C5" w:rsidRPr="002A2DD7">
          <w:rPr>
            <w:rStyle w:val="Hyperlink"/>
          </w:rPr>
          <w:t>https://finance.go.ug/sites/default/files/Publications/Medium%20Term%20Debt%20Managment%20Strategy%20for%20Fy%202021-22_Bk_Designed%20final%20copy-1.pdf</w:t>
        </w:r>
      </w:hyperlink>
      <w:r w:rsidR="005727C5">
        <w:t xml:space="preserve"> </w:t>
      </w:r>
    </w:p>
  </w:endnote>
  <w:endnote w:id="49">
    <w:p w14:paraId="0615EAE0" w14:textId="77777777" w:rsidR="006D1205" w:rsidRDefault="006D1205" w:rsidP="006D1205">
      <w:pPr>
        <w:pStyle w:val="EndnoteText"/>
      </w:pPr>
      <w:r>
        <w:rPr>
          <w:rStyle w:val="EndnoteReference"/>
        </w:rPr>
        <w:endnoteRef/>
      </w:r>
      <w:r>
        <w:t xml:space="preserve"> IMF, 2020. How will Uganda’s new IMF program advance the governance and anti-corruption agenda?</w:t>
      </w:r>
    </w:p>
    <w:p w14:paraId="11E03F5C" w14:textId="77777777" w:rsidR="006D1205" w:rsidRDefault="006D1205" w:rsidP="006D1205">
      <w:pPr>
        <w:pStyle w:val="EndnoteText"/>
        <w:rPr>
          <w:lang w:val="en-US"/>
        </w:rPr>
      </w:pPr>
      <w:r>
        <w:t xml:space="preserve"> </w:t>
      </w:r>
      <w:hyperlink r:id="rId45" w:history="1">
        <w:r>
          <w:rPr>
            <w:rStyle w:val="Hyperlink"/>
          </w:rPr>
          <w:t>https://www.imf.org/en/Countries/UGA/uganda-qandas</w:t>
        </w:r>
      </w:hyperlink>
    </w:p>
  </w:endnote>
  <w:endnote w:id="50">
    <w:p w14:paraId="571190D2" w14:textId="46BDF08E" w:rsidR="00C41A50" w:rsidRPr="00C41A50" w:rsidRDefault="00C41A50">
      <w:pPr>
        <w:pStyle w:val="EndnoteText"/>
        <w:rPr>
          <w:lang w:val="en-US"/>
        </w:rPr>
      </w:pPr>
      <w:r>
        <w:rPr>
          <w:rStyle w:val="EndnoteReference"/>
        </w:rPr>
        <w:endnoteRef/>
      </w:r>
      <w:r>
        <w:t xml:space="preserve"> </w:t>
      </w:r>
      <w:r>
        <w:rPr>
          <w:lang w:val="en-US"/>
        </w:rPr>
        <w:t>W</w:t>
      </w:r>
      <w:r w:rsidR="004F08B7">
        <w:rPr>
          <w:lang w:val="en-US"/>
        </w:rPr>
        <w:t xml:space="preserve">orld </w:t>
      </w:r>
      <w:r>
        <w:rPr>
          <w:lang w:val="en-US"/>
        </w:rPr>
        <w:t>B</w:t>
      </w:r>
      <w:r w:rsidR="004F08B7">
        <w:rPr>
          <w:lang w:val="en-US"/>
        </w:rPr>
        <w:t>ank</w:t>
      </w:r>
      <w:r>
        <w:rPr>
          <w:lang w:val="en-US"/>
        </w:rPr>
        <w:t>.</w:t>
      </w:r>
      <w:r w:rsidR="00466F5E">
        <w:rPr>
          <w:lang w:val="en-US"/>
        </w:rPr>
        <w:t xml:space="preserve"> </w:t>
      </w:r>
      <w:r w:rsidR="00466F5E" w:rsidRPr="00466F5E">
        <w:rPr>
          <w:lang w:val="en-US"/>
        </w:rPr>
        <w:t>FAQ: Uganda Development Policy (Budget Support) Financing Operation</w:t>
      </w:r>
      <w:r w:rsidR="00466F5E">
        <w:rPr>
          <w:lang w:val="en-US"/>
        </w:rPr>
        <w:t>. Accessed 23/09/2021. Available at:</w:t>
      </w:r>
      <w:r>
        <w:rPr>
          <w:lang w:val="en-US"/>
        </w:rPr>
        <w:t xml:space="preserve"> </w:t>
      </w:r>
      <w:hyperlink r:id="rId46" w:history="1">
        <w:r w:rsidRPr="00EB5AF2">
          <w:rPr>
            <w:rStyle w:val="Hyperlink"/>
            <w:lang w:val="en-US"/>
          </w:rPr>
          <w:t>https://www.worldbank.org/en/country/uganda/brief/faq-uganda-development-policy-budget-support-financing-operation</w:t>
        </w:r>
      </w:hyperlink>
      <w:r>
        <w:rPr>
          <w:lang w:val="en-US"/>
        </w:rPr>
        <w:t xml:space="preserve"> </w:t>
      </w:r>
    </w:p>
  </w:endnote>
  <w:endnote w:id="51">
    <w:p w14:paraId="5675DA19" w14:textId="668AC421" w:rsidR="005D6DB9" w:rsidRPr="00310135" w:rsidRDefault="005D6DB9" w:rsidP="005D6DB9">
      <w:pPr>
        <w:pStyle w:val="EndnoteText"/>
        <w:rPr>
          <w:lang w:val="en-US"/>
        </w:rPr>
      </w:pPr>
      <w:r>
        <w:rPr>
          <w:rStyle w:val="EndnoteReference"/>
        </w:rPr>
        <w:endnoteRef/>
      </w:r>
      <w:r>
        <w:t xml:space="preserve"> Development initiatives, 2021. Analysis of aid flows to Uganda before and during Covid-19</w:t>
      </w:r>
      <w:r w:rsidR="00466F5E">
        <w:t xml:space="preserve">. </w:t>
      </w:r>
      <w:r>
        <w:t xml:space="preserve">Available at: </w:t>
      </w:r>
      <w:r w:rsidR="00466F5E" w:rsidRPr="00466F5E">
        <w:t>https://www.devinit.org/resources/domestic-financial-flows-uganda-covid-19/</w:t>
      </w:r>
      <w:hyperlink w:history="1"/>
    </w:p>
  </w:endnote>
  <w:endnote w:id="52">
    <w:p w14:paraId="7545701A" w14:textId="74931448" w:rsidR="006B471D" w:rsidRPr="00C04B41" w:rsidRDefault="006B471D">
      <w:pPr>
        <w:pStyle w:val="EndnoteText"/>
        <w:rPr>
          <w:lang w:val="en-US"/>
        </w:rPr>
      </w:pPr>
      <w:r>
        <w:rPr>
          <w:rStyle w:val="EndnoteReference"/>
        </w:rPr>
        <w:endnoteRef/>
      </w:r>
      <w:r>
        <w:t xml:space="preserve"> Development initiatives, 2021. </w:t>
      </w:r>
      <w:r w:rsidR="00466F5E">
        <w:t xml:space="preserve">Analysis of aid flows to Uganda before and during Covid-19. </w:t>
      </w:r>
      <w:r>
        <w:t xml:space="preserve">Available at: </w:t>
      </w:r>
      <w:hyperlink r:id="rId47" w:history="1">
        <w:r w:rsidR="009F070E" w:rsidRPr="00495212">
          <w:rPr>
            <w:rStyle w:val="Hyperlink"/>
          </w:rPr>
          <w:t>https://www.devinit.org/resources/domestic-financial-flows-uganda-covid-19/</w:t>
        </w:r>
      </w:hyperlink>
    </w:p>
  </w:endnote>
  <w:endnote w:id="53">
    <w:p w14:paraId="0AB89724" w14:textId="497DF662" w:rsidR="002573BE" w:rsidRPr="001F0EC6" w:rsidRDefault="002573BE">
      <w:pPr>
        <w:pStyle w:val="EndnoteText"/>
        <w:rPr>
          <w:lang w:val="en-US"/>
        </w:rPr>
      </w:pPr>
      <w:r>
        <w:rPr>
          <w:rStyle w:val="EndnoteReference"/>
        </w:rPr>
        <w:endnoteRef/>
      </w:r>
      <w:r>
        <w:t xml:space="preserve"> </w:t>
      </w:r>
      <w:r>
        <w:rPr>
          <w:lang w:val="en-US"/>
        </w:rPr>
        <w:t xml:space="preserve">ISER, 2021. Failing to prioritise health financing in the middle of a pandemic: an analysis of Uganda’s health sector budget. Available at: </w:t>
      </w:r>
      <w:hyperlink r:id="rId48" w:history="1">
        <w:r w:rsidRPr="002D4E4B">
          <w:rPr>
            <w:rStyle w:val="Hyperlink"/>
            <w:lang w:val="en-US"/>
          </w:rPr>
          <w:t>https://www.iser-uganda.org/publications/position-papers/495-failing-to-prioritise-health-financing-in-the-middle-of-a-pandemic-an-analysis-of-uganda%E2%80%99s-health-sector-budget</w:t>
        </w:r>
      </w:hyperlink>
      <w:r>
        <w:rPr>
          <w:lang w:val="en-US"/>
        </w:rPr>
        <w:t xml:space="preserve"> </w:t>
      </w:r>
    </w:p>
  </w:endnote>
  <w:endnote w:id="54">
    <w:p w14:paraId="76A64FDF" w14:textId="450A41F7" w:rsidR="002A1527" w:rsidRDefault="002A1527" w:rsidP="00C04B41">
      <w:pPr>
        <w:pStyle w:val="EndnoteText"/>
      </w:pPr>
      <w:r>
        <w:rPr>
          <w:rStyle w:val="EndnoteReference"/>
        </w:rPr>
        <w:endnoteRef/>
      </w:r>
      <w:r>
        <w:t xml:space="preserve"> Development </w:t>
      </w:r>
      <w:r w:rsidR="001767FC">
        <w:t>I</w:t>
      </w:r>
      <w:r>
        <w:t>nitiatives, 2021. Analysis of aid flows to Uganda before and during Covid-19</w:t>
      </w:r>
    </w:p>
    <w:p w14:paraId="10B804B5" w14:textId="2BC43452" w:rsidR="002A1527" w:rsidRPr="00C04B41" w:rsidRDefault="002A1527">
      <w:pPr>
        <w:pStyle w:val="EndnoteText"/>
        <w:rPr>
          <w:lang w:val="en-US"/>
        </w:rPr>
      </w:pPr>
      <w:r>
        <w:t xml:space="preserve">Available at: </w:t>
      </w:r>
      <w:r w:rsidR="00466F5E" w:rsidRPr="00466F5E">
        <w:t>https://www.devinit.org/resources/domestic-financial-flows-uganda-covid-19/</w:t>
      </w:r>
    </w:p>
  </w:endnote>
  <w:endnote w:id="55">
    <w:p w14:paraId="0F6B67F4" w14:textId="2117ECA8" w:rsidR="00C64663" w:rsidRDefault="00C64663" w:rsidP="00C64663">
      <w:pPr>
        <w:pStyle w:val="EndnoteText"/>
      </w:pPr>
      <w:r>
        <w:rPr>
          <w:rStyle w:val="EndnoteReference"/>
        </w:rPr>
        <w:endnoteRef/>
      </w:r>
      <w:r>
        <w:t xml:space="preserve"> Development </w:t>
      </w:r>
      <w:r w:rsidR="001767FC">
        <w:t>I</w:t>
      </w:r>
      <w:r>
        <w:t>nitiatives, July 2021. Analysis of aid flows to Uganda before and during Covid-19</w:t>
      </w:r>
    </w:p>
    <w:p w14:paraId="267FB051" w14:textId="526E7EA5" w:rsidR="00C64663" w:rsidRPr="00C04B41" w:rsidRDefault="00C64663" w:rsidP="00C64663">
      <w:pPr>
        <w:pStyle w:val="EndnoteText"/>
        <w:rPr>
          <w:lang w:val="en-US"/>
        </w:rPr>
      </w:pPr>
      <w:r>
        <w:t xml:space="preserve">Available at: </w:t>
      </w:r>
      <w:r w:rsidR="00466F5E" w:rsidRPr="00466F5E">
        <w:t>https://www.devinit.org/resources/domestic-financial-flows-uganda-covid-19/</w:t>
      </w:r>
    </w:p>
  </w:endnote>
  <w:endnote w:id="56">
    <w:p w14:paraId="426C7F70" w14:textId="73FD60BF" w:rsidR="002A1527" w:rsidRDefault="006B6D5D" w:rsidP="00C04B41">
      <w:pPr>
        <w:pStyle w:val="EndnoteText"/>
      </w:pPr>
      <w:r>
        <w:rPr>
          <w:rStyle w:val="EndnoteReference"/>
        </w:rPr>
        <w:endnoteRef/>
      </w:r>
      <w:r w:rsidR="001767FC">
        <w:t xml:space="preserve"> </w:t>
      </w:r>
      <w:r>
        <w:t xml:space="preserve">Development </w:t>
      </w:r>
      <w:r w:rsidR="001767FC">
        <w:t>I</w:t>
      </w:r>
      <w:r>
        <w:t xml:space="preserve">nitiatives, July 2021. </w:t>
      </w:r>
      <w:r w:rsidR="002A1527">
        <w:rPr>
          <w:bdr w:val="none" w:sz="0" w:space="0" w:color="auto" w:frame="1"/>
        </w:rPr>
        <w:t>Domestic financial flows in Uganda before and during Covid-19</w:t>
      </w:r>
    </w:p>
    <w:p w14:paraId="633B203E" w14:textId="66D52ACF" w:rsidR="006B6D5D" w:rsidRPr="006B6D5D" w:rsidRDefault="006B6D5D">
      <w:pPr>
        <w:pStyle w:val="EndnoteText"/>
        <w:rPr>
          <w:lang w:val="en-US"/>
        </w:rPr>
      </w:pPr>
      <w:r>
        <w:t xml:space="preserve">Available at: </w:t>
      </w:r>
      <w:r w:rsidR="00466F5E" w:rsidRPr="00466F5E">
        <w:t>https://www.devinit.org/resources/domestic-financial-flows-uganda-covid-19/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font>
  <w:font w:name="Times">
    <w:altName w:val="Times New Roman"/>
    <w:panose1 w:val="02020603050405020304"/>
    <w:charset w:val="00"/>
    <w:family w:val="roman"/>
    <w:pitch w:val="variable"/>
  </w:font>
  <w:font w:name="MrsEavesXLSerifNarOT-Reg">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38B2" w14:textId="6DAE1C95" w:rsidR="00D66241" w:rsidRDefault="00D66241" w:rsidP="00A570E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35E8">
      <w:rPr>
        <w:rStyle w:val="PageNumber"/>
        <w:noProof/>
      </w:rPr>
      <w:t>6</w:t>
    </w:r>
    <w:r>
      <w:rPr>
        <w:rStyle w:val="PageNumber"/>
      </w:rPr>
      <w:fldChar w:fldCharType="end"/>
    </w:r>
  </w:p>
  <w:p w14:paraId="3155BD16" w14:textId="7B2FA9DC" w:rsidR="00D66241" w:rsidRDefault="009D7657" w:rsidP="005264C1">
    <w:pPr>
      <w:ind w:right="360"/>
    </w:pPr>
    <w:sdt>
      <w:sdtPr>
        <w:id w:val="533771748"/>
        <w:temporary/>
        <w:showingPlcHdr/>
      </w:sdtPr>
      <w:sdtEndPr/>
      <w:sdtContent>
        <w:r w:rsidR="00D66241">
          <w:t>[Type text]</w:t>
        </w:r>
      </w:sdtContent>
    </w:sdt>
    <w:r w:rsidR="00D66241">
      <w:ptab w:relativeTo="margin" w:alignment="center" w:leader="none"/>
    </w:r>
    <w:sdt>
      <w:sdtPr>
        <w:id w:val="1122270122"/>
        <w:temporary/>
        <w:showingPlcHdr/>
      </w:sdtPr>
      <w:sdtEndPr/>
      <w:sdtContent>
        <w:r w:rsidR="00D66241">
          <w:t>[Type text]</w:t>
        </w:r>
      </w:sdtContent>
    </w:sdt>
    <w:r w:rsidR="00D66241">
      <w:ptab w:relativeTo="margin" w:alignment="right" w:leader="none"/>
    </w:r>
    <w:sdt>
      <w:sdtPr>
        <w:id w:val="2109160295"/>
        <w:temporary/>
        <w:showingPlcHdr/>
      </w:sdtPr>
      <w:sdtEndPr/>
      <w:sdtContent>
        <w:r w:rsidR="00D66241">
          <w:t>[Type text]</w:t>
        </w:r>
      </w:sdtContent>
    </w:sdt>
  </w:p>
  <w:p w14:paraId="4143C637" w14:textId="77777777" w:rsidR="00D66241" w:rsidRDefault="00D662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EA1B0" w14:textId="77777777" w:rsidR="00D66241" w:rsidRPr="008B5908" w:rsidRDefault="00D66241" w:rsidP="00A570EE">
    <w:pPr>
      <w:framePr w:wrap="around" w:vAnchor="text" w:hAnchor="margin" w:xAlign="right" w:y="1"/>
      <w:rPr>
        <w:rStyle w:val="PageNumber"/>
        <w:color w:val="6B656A" w:themeColor="accent6"/>
        <w:sz w:val="18"/>
      </w:rPr>
    </w:pPr>
    <w:r w:rsidRPr="008B5908">
      <w:rPr>
        <w:rStyle w:val="PageNumber"/>
        <w:color w:val="6B656A" w:themeColor="accent6"/>
        <w:sz w:val="18"/>
      </w:rPr>
      <w:fldChar w:fldCharType="begin"/>
    </w:r>
    <w:r w:rsidRPr="008B5908">
      <w:rPr>
        <w:rStyle w:val="PageNumber"/>
        <w:color w:val="6B656A" w:themeColor="accent6"/>
        <w:sz w:val="18"/>
      </w:rPr>
      <w:instrText xml:space="preserve">PAGE  </w:instrText>
    </w:r>
    <w:r w:rsidRPr="008B5908">
      <w:rPr>
        <w:rStyle w:val="PageNumber"/>
        <w:color w:val="6B656A" w:themeColor="accent6"/>
        <w:sz w:val="18"/>
      </w:rPr>
      <w:fldChar w:fldCharType="separate"/>
    </w:r>
    <w:r>
      <w:rPr>
        <w:rStyle w:val="PageNumber"/>
        <w:noProof/>
        <w:color w:val="6B656A" w:themeColor="accent6"/>
        <w:sz w:val="18"/>
      </w:rPr>
      <w:t>6</w:t>
    </w:r>
    <w:r w:rsidRPr="008B5908">
      <w:rPr>
        <w:rStyle w:val="PageNumber"/>
        <w:color w:val="6B656A" w:themeColor="accent6"/>
        <w:sz w:val="18"/>
      </w:rPr>
      <w:fldChar w:fldCharType="end"/>
    </w:r>
  </w:p>
  <w:p w14:paraId="105DA672" w14:textId="2B101AE2" w:rsidR="00D66241" w:rsidRPr="00172F88" w:rsidRDefault="006250E4" w:rsidP="002C57E0">
    <w:pPr>
      <w:ind w:right="360"/>
      <w:rPr>
        <w:color w:val="6B656A" w:themeColor="accent6"/>
        <w:sz w:val="18"/>
      </w:rPr>
    </w:pPr>
    <w:r w:rsidRPr="006250E4">
      <w:rPr>
        <w:color w:val="6B656A" w:themeColor="accent6"/>
        <w:sz w:val="18"/>
      </w:rPr>
      <w:t>Uganda’s loans from international financial institutions (IFIs), 2018–2021</w:t>
    </w:r>
    <w:r w:rsidRPr="006250E4" w:rsidDel="006250E4">
      <w:rPr>
        <w:color w:val="6B656A" w:themeColor="accent6"/>
        <w:sz w:val="18"/>
      </w:rPr>
      <w:t xml:space="preserve"> </w:t>
    </w:r>
    <w:r w:rsidR="00D66241" w:rsidRPr="00172F88">
      <w:rPr>
        <w:rFonts w:ascii="Arial" w:hAnsi="Arial"/>
        <w:color w:val="6B656A" w:themeColor="accent6"/>
        <w:sz w:val="18"/>
      </w:rPr>
      <w:t>/</w:t>
    </w:r>
    <w:r w:rsidR="00D66241" w:rsidRPr="00172F88">
      <w:rPr>
        <w:color w:val="6B656A" w:themeColor="accent6"/>
        <w:sz w:val="18"/>
      </w:rPr>
      <w:t> </w:t>
    </w:r>
    <w:r w:rsidR="00D66241" w:rsidRPr="00172F88">
      <w:rPr>
        <w:color w:val="6B656A" w:themeColor="accent6"/>
        <w:sz w:val="18"/>
      </w:rPr>
      <w:t>devinit.org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1197" w14:textId="77777777" w:rsidR="00D66241" w:rsidRPr="008B5908" w:rsidRDefault="00D66241" w:rsidP="0061701C">
    <w:pPr>
      <w:framePr w:wrap="around" w:vAnchor="text" w:hAnchor="margin" w:xAlign="right" w:y="1"/>
      <w:rPr>
        <w:rStyle w:val="PageNumber"/>
        <w:color w:val="6B656A" w:themeColor="accent6"/>
        <w:sz w:val="18"/>
      </w:rPr>
    </w:pPr>
  </w:p>
  <w:p w14:paraId="5FCBBF85" w14:textId="77777777" w:rsidR="00D66241" w:rsidRPr="00172F88" w:rsidRDefault="00D66241" w:rsidP="009A54AC">
    <w:pPr>
      <w:ind w:right="360"/>
      <w:rPr>
        <w:color w:val="6B656A" w:themeColor="accent6"/>
        <w:sz w:val="18"/>
      </w:rPr>
    </w:pPr>
    <w:r>
      <w:rPr>
        <w:color w:val="6B656A" w:themeColor="accent6"/>
        <w:sz w:val="18"/>
      </w:rPr>
      <w:tab/>
    </w:r>
  </w:p>
  <w:p w14:paraId="267F4049" w14:textId="77777777" w:rsidR="00D66241" w:rsidRDefault="00D66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79EFD" w14:textId="77777777" w:rsidR="004910B1" w:rsidRDefault="004910B1" w:rsidP="005264C1">
      <w:pPr>
        <w:spacing w:before="0" w:line="240" w:lineRule="auto"/>
      </w:pPr>
      <w:r>
        <w:separator/>
      </w:r>
    </w:p>
    <w:p w14:paraId="458B3C8E" w14:textId="77777777" w:rsidR="004910B1" w:rsidRDefault="004910B1"/>
  </w:footnote>
  <w:footnote w:type="continuationSeparator" w:id="0">
    <w:p w14:paraId="333AA6EC" w14:textId="77777777" w:rsidR="004910B1" w:rsidRDefault="004910B1" w:rsidP="005264C1">
      <w:pPr>
        <w:spacing w:before="0" w:line="240" w:lineRule="auto"/>
      </w:pPr>
      <w:r>
        <w:continuationSeparator/>
      </w:r>
    </w:p>
    <w:p w14:paraId="6C228306" w14:textId="77777777" w:rsidR="004910B1" w:rsidRDefault="004910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CDF5" w14:textId="4CAE777A" w:rsidR="00D66241" w:rsidRDefault="00851250">
    <w:r>
      <w:rPr>
        <w:noProof/>
        <w:lang w:eastAsia="en-GB"/>
      </w:rPr>
      <w:drawing>
        <wp:anchor distT="0" distB="0" distL="114300" distR="114300" simplePos="0" relativeHeight="251665408" behindDoc="1" locked="0" layoutInCell="1" allowOverlap="1" wp14:anchorId="08971958" wp14:editId="18D3E459">
          <wp:simplePos x="0" y="0"/>
          <wp:positionH relativeFrom="column">
            <wp:posOffset>1410970</wp:posOffset>
          </wp:positionH>
          <wp:positionV relativeFrom="paragraph">
            <wp:posOffset>-18415</wp:posOffset>
          </wp:positionV>
          <wp:extent cx="2012315" cy="384362"/>
          <wp:effectExtent l="0" t="0" r="6985" b="0"/>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velopment Initiatives logo"/>
                  <pic:cNvPicPr/>
                </pic:nvPicPr>
                <pic:blipFill>
                  <a:blip r:embed="rId1"/>
                  <a:stretch>
                    <a:fillRect/>
                  </a:stretch>
                </pic:blipFill>
                <pic:spPr>
                  <a:xfrm>
                    <a:off x="0" y="0"/>
                    <a:ext cx="2012315" cy="384362"/>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14:anchorId="5E85B6C7" wp14:editId="7D66E133">
          <wp:simplePos x="0" y="0"/>
          <wp:positionH relativeFrom="column">
            <wp:posOffset>-1501775</wp:posOffset>
          </wp:positionH>
          <wp:positionV relativeFrom="paragraph">
            <wp:posOffset>-445135</wp:posOffset>
          </wp:positionV>
          <wp:extent cx="7617349" cy="10686954"/>
          <wp:effectExtent l="0" t="0" r="3175" b="63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2"/>
                  <a:stretch>
                    <a:fillRect/>
                  </a:stretch>
                </pic:blipFill>
                <pic:spPr>
                  <a:xfrm>
                    <a:off x="0" y="0"/>
                    <a:ext cx="7617349" cy="10686954"/>
                  </a:xfrm>
                  <a:prstGeom prst="rect">
                    <a:avLst/>
                  </a:prstGeom>
                </pic:spPr>
              </pic:pic>
            </a:graphicData>
          </a:graphic>
          <wp14:sizeRelH relativeFrom="margin">
            <wp14:pctWidth>0</wp14:pctWidth>
          </wp14:sizeRelH>
          <wp14:sizeRelV relativeFrom="margin">
            <wp14:pctHeight>0</wp14:pctHeight>
          </wp14:sizeRelV>
        </wp:anchor>
      </w:drawing>
    </w:r>
    <w:r w:rsidR="00D66241">
      <w:rPr>
        <w:noProof/>
        <w:lang w:eastAsia="en-GB"/>
      </w:rPr>
      <w:drawing>
        <wp:anchor distT="0" distB="0" distL="114300" distR="114300" simplePos="0" relativeHeight="251661312" behindDoc="1" locked="0" layoutInCell="1" allowOverlap="1" wp14:anchorId="6C621995" wp14:editId="63116532">
          <wp:simplePos x="0" y="0"/>
          <wp:positionH relativeFrom="page">
            <wp:align>center</wp:align>
          </wp:positionH>
          <wp:positionV relativeFrom="paragraph">
            <wp:posOffset>197485</wp:posOffset>
          </wp:positionV>
          <wp:extent cx="2012400" cy="381600"/>
          <wp:effectExtent l="0" t="0" r="0" b="0"/>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3"/>
                  <a:stretch>
                    <a:fillRect/>
                  </a:stretch>
                </pic:blipFill>
                <pic:spPr>
                  <a:xfrm>
                    <a:off x="0" y="0"/>
                    <a:ext cx="2012400" cy="381600"/>
                  </a:xfrm>
                  <a:prstGeom prst="rect">
                    <a:avLst/>
                  </a:prstGeom>
                </pic:spPr>
              </pic:pic>
            </a:graphicData>
          </a:graphic>
          <wp14:sizeRelH relativeFrom="margin">
            <wp14:pctWidth>0</wp14:pctWidth>
          </wp14:sizeRelH>
          <wp14:sizeRelV relativeFrom="margin">
            <wp14:pctHeight>0</wp14:pctHeight>
          </wp14:sizeRelV>
        </wp:anchor>
      </w:drawing>
    </w:r>
    <w:r w:rsidR="00D66241">
      <w:softHyphen/>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9C72" w14:textId="77777777" w:rsidR="00D66241" w:rsidRDefault="00D66241">
    <w: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55D6A"/>
    <w:multiLevelType w:val="hybridMultilevel"/>
    <w:tmpl w:val="B2A62BF2"/>
    <w:lvl w:ilvl="0" w:tplc="A7DAF2D6">
      <w:start w:val="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34BA4"/>
    <w:multiLevelType w:val="hybridMultilevel"/>
    <w:tmpl w:val="3A8C9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133CA5"/>
    <w:multiLevelType w:val="hybridMultilevel"/>
    <w:tmpl w:val="6AAEF5E4"/>
    <w:lvl w:ilvl="0" w:tplc="E9D66872">
      <w:start w:val="1"/>
      <w:numFmt w:val="decimal"/>
      <w:pStyle w:val="ListParagraphnumbers"/>
      <w:lvlText w:val="%1."/>
      <w:lvlJc w:val="left"/>
      <w:pPr>
        <w:ind w:left="360" w:hanging="360"/>
      </w:pPr>
      <w:rPr>
        <w:rFonts w:hint="default"/>
        <w:color w:val="453F43" w:themeColor="background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3" w15:restartNumberingAfterBreak="0">
    <w:nsid w:val="53D011F7"/>
    <w:multiLevelType w:val="hybridMultilevel"/>
    <w:tmpl w:val="3BA0C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354D07"/>
    <w:multiLevelType w:val="hybridMultilevel"/>
    <w:tmpl w:val="8C3A17F8"/>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5" w15:restartNumberingAfterBreak="0">
    <w:nsid w:val="7BDA3389"/>
    <w:multiLevelType w:val="hybridMultilevel"/>
    <w:tmpl w:val="35265904"/>
    <w:lvl w:ilvl="0" w:tplc="5B789CA0">
      <w:start w:val="1"/>
      <w:numFmt w:val="bullet"/>
      <w:pStyle w:val="Tabletextwithbullets"/>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A5DDF"/>
    <w:multiLevelType w:val="hybridMultilevel"/>
    <w:tmpl w:val="B63C8C4C"/>
    <w:lvl w:ilvl="0" w:tplc="D2B64528">
      <w:start w:val="1"/>
      <w:numFmt w:val="bullet"/>
      <w:pStyle w:val="ListParagraph"/>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num w:numId="1">
    <w:abstractNumId w:val="6"/>
  </w:num>
  <w:num w:numId="2">
    <w:abstractNumId w:val="2"/>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4"/>
  </w:num>
  <w:num w:numId="8">
    <w:abstractNumId w:val="1"/>
  </w:num>
  <w:num w:numId="9">
    <w:abstractNumId w:va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36"/>
    <w:rsid w:val="00000212"/>
    <w:rsid w:val="000004FE"/>
    <w:rsid w:val="0000061A"/>
    <w:rsid w:val="00007B85"/>
    <w:rsid w:val="00011148"/>
    <w:rsid w:val="000139C0"/>
    <w:rsid w:val="00015242"/>
    <w:rsid w:val="00016F13"/>
    <w:rsid w:val="00021267"/>
    <w:rsid w:val="0002143F"/>
    <w:rsid w:val="0002377C"/>
    <w:rsid w:val="00023990"/>
    <w:rsid w:val="0002621D"/>
    <w:rsid w:val="00034950"/>
    <w:rsid w:val="00034E2E"/>
    <w:rsid w:val="000501F0"/>
    <w:rsid w:val="00055041"/>
    <w:rsid w:val="00061B7B"/>
    <w:rsid w:val="00064270"/>
    <w:rsid w:val="0006621E"/>
    <w:rsid w:val="0006682C"/>
    <w:rsid w:val="00067205"/>
    <w:rsid w:val="000705F1"/>
    <w:rsid w:val="0007088A"/>
    <w:rsid w:val="000718B0"/>
    <w:rsid w:val="0008084D"/>
    <w:rsid w:val="00080E2D"/>
    <w:rsid w:val="00081783"/>
    <w:rsid w:val="00082557"/>
    <w:rsid w:val="000855B3"/>
    <w:rsid w:val="00091CF1"/>
    <w:rsid w:val="000925BA"/>
    <w:rsid w:val="00093F91"/>
    <w:rsid w:val="0009589F"/>
    <w:rsid w:val="00096F96"/>
    <w:rsid w:val="00097E3E"/>
    <w:rsid w:val="000A76FE"/>
    <w:rsid w:val="000B2C37"/>
    <w:rsid w:val="000B7C8C"/>
    <w:rsid w:val="000C3693"/>
    <w:rsid w:val="000C6239"/>
    <w:rsid w:val="000C68B6"/>
    <w:rsid w:val="000C6EDA"/>
    <w:rsid w:val="000C7846"/>
    <w:rsid w:val="000D3A08"/>
    <w:rsid w:val="000D46B5"/>
    <w:rsid w:val="000E1685"/>
    <w:rsid w:val="000E4A1F"/>
    <w:rsid w:val="000E5A88"/>
    <w:rsid w:val="000E7DF0"/>
    <w:rsid w:val="000F2324"/>
    <w:rsid w:val="000F5C08"/>
    <w:rsid w:val="000F775B"/>
    <w:rsid w:val="00103B13"/>
    <w:rsid w:val="00103EF5"/>
    <w:rsid w:val="001045D5"/>
    <w:rsid w:val="00107592"/>
    <w:rsid w:val="001078CF"/>
    <w:rsid w:val="00107962"/>
    <w:rsid w:val="001114C2"/>
    <w:rsid w:val="001130B6"/>
    <w:rsid w:val="001131C8"/>
    <w:rsid w:val="00120C10"/>
    <w:rsid w:val="0012152C"/>
    <w:rsid w:val="00121AFE"/>
    <w:rsid w:val="00122F69"/>
    <w:rsid w:val="0012310A"/>
    <w:rsid w:val="0013029A"/>
    <w:rsid w:val="00131A21"/>
    <w:rsid w:val="001329D8"/>
    <w:rsid w:val="0013374E"/>
    <w:rsid w:val="001347B7"/>
    <w:rsid w:val="0013523E"/>
    <w:rsid w:val="00136639"/>
    <w:rsid w:val="0014083F"/>
    <w:rsid w:val="00140D0E"/>
    <w:rsid w:val="001422EE"/>
    <w:rsid w:val="001441AB"/>
    <w:rsid w:val="0014435C"/>
    <w:rsid w:val="001456C2"/>
    <w:rsid w:val="00147C61"/>
    <w:rsid w:val="0015034D"/>
    <w:rsid w:val="00155C13"/>
    <w:rsid w:val="001560AD"/>
    <w:rsid w:val="00157903"/>
    <w:rsid w:val="0016000B"/>
    <w:rsid w:val="0016197E"/>
    <w:rsid w:val="0016449D"/>
    <w:rsid w:val="001668EF"/>
    <w:rsid w:val="00171E63"/>
    <w:rsid w:val="001721BD"/>
    <w:rsid w:val="00172F88"/>
    <w:rsid w:val="00172FE4"/>
    <w:rsid w:val="00174943"/>
    <w:rsid w:val="001767FC"/>
    <w:rsid w:val="001816E5"/>
    <w:rsid w:val="00182152"/>
    <w:rsid w:val="001835FD"/>
    <w:rsid w:val="0018373D"/>
    <w:rsid w:val="00186F60"/>
    <w:rsid w:val="00187F9E"/>
    <w:rsid w:val="0019393B"/>
    <w:rsid w:val="00194BCB"/>
    <w:rsid w:val="00194C8B"/>
    <w:rsid w:val="001950F4"/>
    <w:rsid w:val="00197727"/>
    <w:rsid w:val="001A1E03"/>
    <w:rsid w:val="001A33D7"/>
    <w:rsid w:val="001A47AA"/>
    <w:rsid w:val="001A7436"/>
    <w:rsid w:val="001B1255"/>
    <w:rsid w:val="001B270C"/>
    <w:rsid w:val="001B76CA"/>
    <w:rsid w:val="001B7F5A"/>
    <w:rsid w:val="001C2AD1"/>
    <w:rsid w:val="001C2E44"/>
    <w:rsid w:val="001C3D9B"/>
    <w:rsid w:val="001C42E6"/>
    <w:rsid w:val="001C522F"/>
    <w:rsid w:val="001C5625"/>
    <w:rsid w:val="001C5DA9"/>
    <w:rsid w:val="001D111C"/>
    <w:rsid w:val="001D147A"/>
    <w:rsid w:val="001D1AAC"/>
    <w:rsid w:val="001D5E5D"/>
    <w:rsid w:val="001D61D0"/>
    <w:rsid w:val="001F0EC6"/>
    <w:rsid w:val="001F22FF"/>
    <w:rsid w:val="001F62CA"/>
    <w:rsid w:val="002007EE"/>
    <w:rsid w:val="002013A4"/>
    <w:rsid w:val="002053E8"/>
    <w:rsid w:val="00205965"/>
    <w:rsid w:val="00205F29"/>
    <w:rsid w:val="00206D9E"/>
    <w:rsid w:val="002079E8"/>
    <w:rsid w:val="0021199C"/>
    <w:rsid w:val="0021473B"/>
    <w:rsid w:val="00215337"/>
    <w:rsid w:val="00216B87"/>
    <w:rsid w:val="002177EE"/>
    <w:rsid w:val="00230202"/>
    <w:rsid w:val="00231E15"/>
    <w:rsid w:val="002335E8"/>
    <w:rsid w:val="0023447A"/>
    <w:rsid w:val="00236D1F"/>
    <w:rsid w:val="00237CFC"/>
    <w:rsid w:val="002433B7"/>
    <w:rsid w:val="00250D78"/>
    <w:rsid w:val="00253C6A"/>
    <w:rsid w:val="00255BB7"/>
    <w:rsid w:val="002565C6"/>
    <w:rsid w:val="002573BE"/>
    <w:rsid w:val="002577E9"/>
    <w:rsid w:val="0026332C"/>
    <w:rsid w:val="00266628"/>
    <w:rsid w:val="00267FFB"/>
    <w:rsid w:val="00272C3B"/>
    <w:rsid w:val="002826BA"/>
    <w:rsid w:val="002838F1"/>
    <w:rsid w:val="0028521F"/>
    <w:rsid w:val="002864CD"/>
    <w:rsid w:val="00286B38"/>
    <w:rsid w:val="00290313"/>
    <w:rsid w:val="002974E6"/>
    <w:rsid w:val="002A1527"/>
    <w:rsid w:val="002A20DD"/>
    <w:rsid w:val="002A2AFC"/>
    <w:rsid w:val="002B3508"/>
    <w:rsid w:val="002B3ADA"/>
    <w:rsid w:val="002B4F6A"/>
    <w:rsid w:val="002B60CE"/>
    <w:rsid w:val="002B7B4D"/>
    <w:rsid w:val="002C0350"/>
    <w:rsid w:val="002C17CB"/>
    <w:rsid w:val="002C4546"/>
    <w:rsid w:val="002C50BB"/>
    <w:rsid w:val="002C57E0"/>
    <w:rsid w:val="002D052C"/>
    <w:rsid w:val="002D1705"/>
    <w:rsid w:val="002D4413"/>
    <w:rsid w:val="002D5DCE"/>
    <w:rsid w:val="002D7B95"/>
    <w:rsid w:val="002E3A7D"/>
    <w:rsid w:val="002E3D06"/>
    <w:rsid w:val="002F0815"/>
    <w:rsid w:val="002F34E2"/>
    <w:rsid w:val="002F4953"/>
    <w:rsid w:val="002F4A0D"/>
    <w:rsid w:val="002F7651"/>
    <w:rsid w:val="0030070C"/>
    <w:rsid w:val="00301425"/>
    <w:rsid w:val="003028D8"/>
    <w:rsid w:val="003029DE"/>
    <w:rsid w:val="00307ED5"/>
    <w:rsid w:val="00310135"/>
    <w:rsid w:val="00311FC8"/>
    <w:rsid w:val="00313B59"/>
    <w:rsid w:val="00321FC4"/>
    <w:rsid w:val="003229E8"/>
    <w:rsid w:val="00323373"/>
    <w:rsid w:val="0033035D"/>
    <w:rsid w:val="0033065B"/>
    <w:rsid w:val="00332D4C"/>
    <w:rsid w:val="003331DE"/>
    <w:rsid w:val="00337184"/>
    <w:rsid w:val="00340951"/>
    <w:rsid w:val="00341131"/>
    <w:rsid w:val="00341C1F"/>
    <w:rsid w:val="003425DB"/>
    <w:rsid w:val="003431A0"/>
    <w:rsid w:val="00343A69"/>
    <w:rsid w:val="003466B0"/>
    <w:rsid w:val="00347FB4"/>
    <w:rsid w:val="00355572"/>
    <w:rsid w:val="00356263"/>
    <w:rsid w:val="0035709D"/>
    <w:rsid w:val="00360C1E"/>
    <w:rsid w:val="0036231E"/>
    <w:rsid w:val="00364876"/>
    <w:rsid w:val="00364EC9"/>
    <w:rsid w:val="003655AF"/>
    <w:rsid w:val="003716EE"/>
    <w:rsid w:val="00376C89"/>
    <w:rsid w:val="0038753C"/>
    <w:rsid w:val="0039204E"/>
    <w:rsid w:val="00392C55"/>
    <w:rsid w:val="00393974"/>
    <w:rsid w:val="00394707"/>
    <w:rsid w:val="003A1564"/>
    <w:rsid w:val="003A3A4A"/>
    <w:rsid w:val="003A4C73"/>
    <w:rsid w:val="003A5B0C"/>
    <w:rsid w:val="003B1091"/>
    <w:rsid w:val="003B20ED"/>
    <w:rsid w:val="003B58F3"/>
    <w:rsid w:val="003B5B81"/>
    <w:rsid w:val="003C01B6"/>
    <w:rsid w:val="003C120F"/>
    <w:rsid w:val="003C1218"/>
    <w:rsid w:val="003C1E14"/>
    <w:rsid w:val="003C42CE"/>
    <w:rsid w:val="003D1E1C"/>
    <w:rsid w:val="003D30E7"/>
    <w:rsid w:val="003D3826"/>
    <w:rsid w:val="003D50E9"/>
    <w:rsid w:val="003D59A2"/>
    <w:rsid w:val="003D637F"/>
    <w:rsid w:val="003D644E"/>
    <w:rsid w:val="003E0A96"/>
    <w:rsid w:val="003E366D"/>
    <w:rsid w:val="003E605C"/>
    <w:rsid w:val="003E607A"/>
    <w:rsid w:val="003E6D4D"/>
    <w:rsid w:val="003E6EF9"/>
    <w:rsid w:val="003F3843"/>
    <w:rsid w:val="003F62FF"/>
    <w:rsid w:val="00400E6F"/>
    <w:rsid w:val="00401162"/>
    <w:rsid w:val="00402750"/>
    <w:rsid w:val="004029F6"/>
    <w:rsid w:val="00405BC8"/>
    <w:rsid w:val="00410726"/>
    <w:rsid w:val="0041412C"/>
    <w:rsid w:val="00416912"/>
    <w:rsid w:val="0041751E"/>
    <w:rsid w:val="00417561"/>
    <w:rsid w:val="00421437"/>
    <w:rsid w:val="0042496E"/>
    <w:rsid w:val="00425FC2"/>
    <w:rsid w:val="00434FEC"/>
    <w:rsid w:val="004367A9"/>
    <w:rsid w:val="00437355"/>
    <w:rsid w:val="00437D74"/>
    <w:rsid w:val="004403FF"/>
    <w:rsid w:val="004439A2"/>
    <w:rsid w:val="00443E02"/>
    <w:rsid w:val="00446F02"/>
    <w:rsid w:val="004473CE"/>
    <w:rsid w:val="0045062F"/>
    <w:rsid w:val="0045196A"/>
    <w:rsid w:val="00460411"/>
    <w:rsid w:val="00460AF4"/>
    <w:rsid w:val="00462E24"/>
    <w:rsid w:val="00466F5E"/>
    <w:rsid w:val="004713EB"/>
    <w:rsid w:val="00474524"/>
    <w:rsid w:val="00474B02"/>
    <w:rsid w:val="00476615"/>
    <w:rsid w:val="004772F8"/>
    <w:rsid w:val="00477F43"/>
    <w:rsid w:val="00480BEF"/>
    <w:rsid w:val="00481A68"/>
    <w:rsid w:val="004910B1"/>
    <w:rsid w:val="00492198"/>
    <w:rsid w:val="00493F7E"/>
    <w:rsid w:val="00495F73"/>
    <w:rsid w:val="0049633B"/>
    <w:rsid w:val="00496651"/>
    <w:rsid w:val="004A2C93"/>
    <w:rsid w:val="004A376D"/>
    <w:rsid w:val="004B2A36"/>
    <w:rsid w:val="004B334B"/>
    <w:rsid w:val="004B38A5"/>
    <w:rsid w:val="004B48BF"/>
    <w:rsid w:val="004B4E83"/>
    <w:rsid w:val="004C56D3"/>
    <w:rsid w:val="004D2208"/>
    <w:rsid w:val="004E4675"/>
    <w:rsid w:val="004E4A31"/>
    <w:rsid w:val="004E62D8"/>
    <w:rsid w:val="004E72E5"/>
    <w:rsid w:val="004F07F7"/>
    <w:rsid w:val="004F08B7"/>
    <w:rsid w:val="004F1821"/>
    <w:rsid w:val="004F396E"/>
    <w:rsid w:val="004F5EB6"/>
    <w:rsid w:val="004F66A0"/>
    <w:rsid w:val="0050260B"/>
    <w:rsid w:val="00511AB7"/>
    <w:rsid w:val="00515400"/>
    <w:rsid w:val="00520B68"/>
    <w:rsid w:val="00522A49"/>
    <w:rsid w:val="005264C1"/>
    <w:rsid w:val="0052742E"/>
    <w:rsid w:val="00530EC4"/>
    <w:rsid w:val="00530FEF"/>
    <w:rsid w:val="005320B2"/>
    <w:rsid w:val="005417F5"/>
    <w:rsid w:val="00541B46"/>
    <w:rsid w:val="00541CA3"/>
    <w:rsid w:val="00543B97"/>
    <w:rsid w:val="005444C1"/>
    <w:rsid w:val="00552718"/>
    <w:rsid w:val="00554EAA"/>
    <w:rsid w:val="0055688C"/>
    <w:rsid w:val="00557043"/>
    <w:rsid w:val="00560F25"/>
    <w:rsid w:val="005613BF"/>
    <w:rsid w:val="00564F40"/>
    <w:rsid w:val="0057135C"/>
    <w:rsid w:val="005727C5"/>
    <w:rsid w:val="00572A6C"/>
    <w:rsid w:val="00580A1F"/>
    <w:rsid w:val="00582A1B"/>
    <w:rsid w:val="00584727"/>
    <w:rsid w:val="00584AF4"/>
    <w:rsid w:val="00585B33"/>
    <w:rsid w:val="00587663"/>
    <w:rsid w:val="00592A44"/>
    <w:rsid w:val="005939A3"/>
    <w:rsid w:val="00595748"/>
    <w:rsid w:val="005A5FAD"/>
    <w:rsid w:val="005B0AC1"/>
    <w:rsid w:val="005B0F82"/>
    <w:rsid w:val="005B72AE"/>
    <w:rsid w:val="005C00D3"/>
    <w:rsid w:val="005C20F9"/>
    <w:rsid w:val="005C318E"/>
    <w:rsid w:val="005C67BE"/>
    <w:rsid w:val="005C7720"/>
    <w:rsid w:val="005C7D8C"/>
    <w:rsid w:val="005D06EB"/>
    <w:rsid w:val="005D207B"/>
    <w:rsid w:val="005D2410"/>
    <w:rsid w:val="005D2A89"/>
    <w:rsid w:val="005D2AE5"/>
    <w:rsid w:val="005D6A86"/>
    <w:rsid w:val="005D6DB9"/>
    <w:rsid w:val="005D7683"/>
    <w:rsid w:val="005E1235"/>
    <w:rsid w:val="005E1B34"/>
    <w:rsid w:val="005E2C61"/>
    <w:rsid w:val="005E572D"/>
    <w:rsid w:val="005F0DA3"/>
    <w:rsid w:val="005F2A3E"/>
    <w:rsid w:val="005F3CD7"/>
    <w:rsid w:val="005F66B1"/>
    <w:rsid w:val="005F6E56"/>
    <w:rsid w:val="005F70D8"/>
    <w:rsid w:val="005F7F3C"/>
    <w:rsid w:val="0060006D"/>
    <w:rsid w:val="00601359"/>
    <w:rsid w:val="00604EF3"/>
    <w:rsid w:val="006068DC"/>
    <w:rsid w:val="0060759E"/>
    <w:rsid w:val="00610A11"/>
    <w:rsid w:val="006118AD"/>
    <w:rsid w:val="00613058"/>
    <w:rsid w:val="0061701C"/>
    <w:rsid w:val="006223DE"/>
    <w:rsid w:val="00623179"/>
    <w:rsid w:val="00623EBC"/>
    <w:rsid w:val="006250E4"/>
    <w:rsid w:val="00625E58"/>
    <w:rsid w:val="006275CA"/>
    <w:rsid w:val="00630528"/>
    <w:rsid w:val="00635ECB"/>
    <w:rsid w:val="00640285"/>
    <w:rsid w:val="00642070"/>
    <w:rsid w:val="006450DE"/>
    <w:rsid w:val="00652417"/>
    <w:rsid w:val="00652490"/>
    <w:rsid w:val="00652628"/>
    <w:rsid w:val="00653257"/>
    <w:rsid w:val="00655238"/>
    <w:rsid w:val="00656491"/>
    <w:rsid w:val="006611B4"/>
    <w:rsid w:val="00664CBD"/>
    <w:rsid w:val="00664EBA"/>
    <w:rsid w:val="00665242"/>
    <w:rsid w:val="00665A65"/>
    <w:rsid w:val="006666A6"/>
    <w:rsid w:val="0066792A"/>
    <w:rsid w:val="00671D13"/>
    <w:rsid w:val="00672F4B"/>
    <w:rsid w:val="006738C3"/>
    <w:rsid w:val="00675228"/>
    <w:rsid w:val="006777FA"/>
    <w:rsid w:val="006802D1"/>
    <w:rsid w:val="00680CBD"/>
    <w:rsid w:val="006819C0"/>
    <w:rsid w:val="00682962"/>
    <w:rsid w:val="0068389A"/>
    <w:rsid w:val="00684D62"/>
    <w:rsid w:val="00686A50"/>
    <w:rsid w:val="00687691"/>
    <w:rsid w:val="00692765"/>
    <w:rsid w:val="00695328"/>
    <w:rsid w:val="00695A4A"/>
    <w:rsid w:val="006A1117"/>
    <w:rsid w:val="006A7417"/>
    <w:rsid w:val="006A7AFD"/>
    <w:rsid w:val="006B0CF8"/>
    <w:rsid w:val="006B1757"/>
    <w:rsid w:val="006B2FBA"/>
    <w:rsid w:val="006B471D"/>
    <w:rsid w:val="006B47A0"/>
    <w:rsid w:val="006B6D5D"/>
    <w:rsid w:val="006C03DC"/>
    <w:rsid w:val="006C6760"/>
    <w:rsid w:val="006C6C4E"/>
    <w:rsid w:val="006D0014"/>
    <w:rsid w:val="006D1205"/>
    <w:rsid w:val="006D2BB4"/>
    <w:rsid w:val="006D3218"/>
    <w:rsid w:val="006D7A71"/>
    <w:rsid w:val="006E0B76"/>
    <w:rsid w:val="006E0E53"/>
    <w:rsid w:val="006E2BDC"/>
    <w:rsid w:val="006E79BF"/>
    <w:rsid w:val="006E7E69"/>
    <w:rsid w:val="006F1268"/>
    <w:rsid w:val="006F1F52"/>
    <w:rsid w:val="006F7E96"/>
    <w:rsid w:val="007017F9"/>
    <w:rsid w:val="007019D5"/>
    <w:rsid w:val="00706759"/>
    <w:rsid w:val="007134B8"/>
    <w:rsid w:val="00714321"/>
    <w:rsid w:val="00714E11"/>
    <w:rsid w:val="0071656C"/>
    <w:rsid w:val="00716B59"/>
    <w:rsid w:val="00720354"/>
    <w:rsid w:val="0072233E"/>
    <w:rsid w:val="00724045"/>
    <w:rsid w:val="007268ED"/>
    <w:rsid w:val="00726F5B"/>
    <w:rsid w:val="00727E60"/>
    <w:rsid w:val="007320EA"/>
    <w:rsid w:val="00735C51"/>
    <w:rsid w:val="007428EA"/>
    <w:rsid w:val="00743A05"/>
    <w:rsid w:val="00744571"/>
    <w:rsid w:val="00747033"/>
    <w:rsid w:val="00750070"/>
    <w:rsid w:val="0075007F"/>
    <w:rsid w:val="0075336C"/>
    <w:rsid w:val="00753FA4"/>
    <w:rsid w:val="00754B50"/>
    <w:rsid w:val="00756B83"/>
    <w:rsid w:val="00760353"/>
    <w:rsid w:val="007613E8"/>
    <w:rsid w:val="0076169A"/>
    <w:rsid w:val="00763DF2"/>
    <w:rsid w:val="00767C6D"/>
    <w:rsid w:val="007720C8"/>
    <w:rsid w:val="0077547D"/>
    <w:rsid w:val="00786B4D"/>
    <w:rsid w:val="00791AF1"/>
    <w:rsid w:val="0079421D"/>
    <w:rsid w:val="0079721A"/>
    <w:rsid w:val="007A0249"/>
    <w:rsid w:val="007A22DE"/>
    <w:rsid w:val="007A3785"/>
    <w:rsid w:val="007A7361"/>
    <w:rsid w:val="007A7388"/>
    <w:rsid w:val="007B11D4"/>
    <w:rsid w:val="007B3415"/>
    <w:rsid w:val="007B4BD5"/>
    <w:rsid w:val="007C1B90"/>
    <w:rsid w:val="007C67AF"/>
    <w:rsid w:val="007D3F6C"/>
    <w:rsid w:val="007D55C9"/>
    <w:rsid w:val="007E19EF"/>
    <w:rsid w:val="007E302D"/>
    <w:rsid w:val="007E6263"/>
    <w:rsid w:val="007F059D"/>
    <w:rsid w:val="007F108B"/>
    <w:rsid w:val="007F42BE"/>
    <w:rsid w:val="00802C53"/>
    <w:rsid w:val="00812BD7"/>
    <w:rsid w:val="00814C63"/>
    <w:rsid w:val="00816510"/>
    <w:rsid w:val="00817581"/>
    <w:rsid w:val="0082006C"/>
    <w:rsid w:val="00821E8E"/>
    <w:rsid w:val="00821E9C"/>
    <w:rsid w:val="00822159"/>
    <w:rsid w:val="00830411"/>
    <w:rsid w:val="008317F5"/>
    <w:rsid w:val="00831D11"/>
    <w:rsid w:val="008320B2"/>
    <w:rsid w:val="00832458"/>
    <w:rsid w:val="0083474F"/>
    <w:rsid w:val="00834C5E"/>
    <w:rsid w:val="00836DB1"/>
    <w:rsid w:val="00840969"/>
    <w:rsid w:val="0084464F"/>
    <w:rsid w:val="00846D84"/>
    <w:rsid w:val="00847179"/>
    <w:rsid w:val="00851250"/>
    <w:rsid w:val="0085262C"/>
    <w:rsid w:val="00852A9F"/>
    <w:rsid w:val="00857AA4"/>
    <w:rsid w:val="00862523"/>
    <w:rsid w:val="00863043"/>
    <w:rsid w:val="0086344B"/>
    <w:rsid w:val="00864DF8"/>
    <w:rsid w:val="008733EB"/>
    <w:rsid w:val="00877C9E"/>
    <w:rsid w:val="00881195"/>
    <w:rsid w:val="008822DF"/>
    <w:rsid w:val="0088343F"/>
    <w:rsid w:val="008853A8"/>
    <w:rsid w:val="008914CB"/>
    <w:rsid w:val="00893488"/>
    <w:rsid w:val="00893D02"/>
    <w:rsid w:val="00893E36"/>
    <w:rsid w:val="00895371"/>
    <w:rsid w:val="008970FD"/>
    <w:rsid w:val="008B136E"/>
    <w:rsid w:val="008B385B"/>
    <w:rsid w:val="008B5908"/>
    <w:rsid w:val="008B7429"/>
    <w:rsid w:val="008B7AE3"/>
    <w:rsid w:val="008C146F"/>
    <w:rsid w:val="008C2E48"/>
    <w:rsid w:val="008C3C6E"/>
    <w:rsid w:val="008C406D"/>
    <w:rsid w:val="008C6079"/>
    <w:rsid w:val="008D1238"/>
    <w:rsid w:val="008D208B"/>
    <w:rsid w:val="008D3194"/>
    <w:rsid w:val="008D4FFA"/>
    <w:rsid w:val="008D766D"/>
    <w:rsid w:val="008E135D"/>
    <w:rsid w:val="008E627C"/>
    <w:rsid w:val="008F0841"/>
    <w:rsid w:val="008F0D15"/>
    <w:rsid w:val="008F22CB"/>
    <w:rsid w:val="008F58F1"/>
    <w:rsid w:val="008F7E72"/>
    <w:rsid w:val="0090479C"/>
    <w:rsid w:val="009049C0"/>
    <w:rsid w:val="00904BF0"/>
    <w:rsid w:val="00911016"/>
    <w:rsid w:val="00912572"/>
    <w:rsid w:val="00913324"/>
    <w:rsid w:val="009172A1"/>
    <w:rsid w:val="00923F51"/>
    <w:rsid w:val="00924CC7"/>
    <w:rsid w:val="009264EA"/>
    <w:rsid w:val="00927B1F"/>
    <w:rsid w:val="00933C93"/>
    <w:rsid w:val="00933D4E"/>
    <w:rsid w:val="00934ECB"/>
    <w:rsid w:val="00940794"/>
    <w:rsid w:val="00941914"/>
    <w:rsid w:val="00942B82"/>
    <w:rsid w:val="009438F0"/>
    <w:rsid w:val="009445B0"/>
    <w:rsid w:val="00952813"/>
    <w:rsid w:val="00954542"/>
    <w:rsid w:val="00954878"/>
    <w:rsid w:val="00956B81"/>
    <w:rsid w:val="00961020"/>
    <w:rsid w:val="00974993"/>
    <w:rsid w:val="009751F5"/>
    <w:rsid w:val="0097537B"/>
    <w:rsid w:val="00975515"/>
    <w:rsid w:val="00976110"/>
    <w:rsid w:val="009817DE"/>
    <w:rsid w:val="00982297"/>
    <w:rsid w:val="00983D1C"/>
    <w:rsid w:val="00990356"/>
    <w:rsid w:val="0099323E"/>
    <w:rsid w:val="009959E6"/>
    <w:rsid w:val="00997A08"/>
    <w:rsid w:val="009A216C"/>
    <w:rsid w:val="009A2E6F"/>
    <w:rsid w:val="009A3D1D"/>
    <w:rsid w:val="009A4C02"/>
    <w:rsid w:val="009A54AC"/>
    <w:rsid w:val="009B0079"/>
    <w:rsid w:val="009B6A81"/>
    <w:rsid w:val="009C0C90"/>
    <w:rsid w:val="009C3673"/>
    <w:rsid w:val="009C47B2"/>
    <w:rsid w:val="009C490C"/>
    <w:rsid w:val="009C6244"/>
    <w:rsid w:val="009C6FBA"/>
    <w:rsid w:val="009D32F8"/>
    <w:rsid w:val="009D3B7D"/>
    <w:rsid w:val="009D513D"/>
    <w:rsid w:val="009D54B5"/>
    <w:rsid w:val="009D66B6"/>
    <w:rsid w:val="009D7657"/>
    <w:rsid w:val="009E5A29"/>
    <w:rsid w:val="009E5C8B"/>
    <w:rsid w:val="009F03A5"/>
    <w:rsid w:val="009F070E"/>
    <w:rsid w:val="009F379B"/>
    <w:rsid w:val="009F5215"/>
    <w:rsid w:val="009F61E0"/>
    <w:rsid w:val="009F6C27"/>
    <w:rsid w:val="00A00664"/>
    <w:rsid w:val="00A01FD0"/>
    <w:rsid w:val="00A0304A"/>
    <w:rsid w:val="00A035EF"/>
    <w:rsid w:val="00A03696"/>
    <w:rsid w:val="00A0418E"/>
    <w:rsid w:val="00A102CD"/>
    <w:rsid w:val="00A14062"/>
    <w:rsid w:val="00A178DC"/>
    <w:rsid w:val="00A219B7"/>
    <w:rsid w:val="00A242D1"/>
    <w:rsid w:val="00A243A9"/>
    <w:rsid w:val="00A30173"/>
    <w:rsid w:val="00A30B5E"/>
    <w:rsid w:val="00A321EB"/>
    <w:rsid w:val="00A36D1A"/>
    <w:rsid w:val="00A37676"/>
    <w:rsid w:val="00A42953"/>
    <w:rsid w:val="00A43B6B"/>
    <w:rsid w:val="00A45EE3"/>
    <w:rsid w:val="00A462C7"/>
    <w:rsid w:val="00A4680A"/>
    <w:rsid w:val="00A47814"/>
    <w:rsid w:val="00A506CF"/>
    <w:rsid w:val="00A51943"/>
    <w:rsid w:val="00A52ADA"/>
    <w:rsid w:val="00A54339"/>
    <w:rsid w:val="00A565D6"/>
    <w:rsid w:val="00A570EE"/>
    <w:rsid w:val="00A60C73"/>
    <w:rsid w:val="00A61350"/>
    <w:rsid w:val="00A616FD"/>
    <w:rsid w:val="00A62EEB"/>
    <w:rsid w:val="00A652E5"/>
    <w:rsid w:val="00A666E4"/>
    <w:rsid w:val="00A667F3"/>
    <w:rsid w:val="00A71090"/>
    <w:rsid w:val="00A71507"/>
    <w:rsid w:val="00A72202"/>
    <w:rsid w:val="00A7318C"/>
    <w:rsid w:val="00A731E4"/>
    <w:rsid w:val="00A7433B"/>
    <w:rsid w:val="00A74662"/>
    <w:rsid w:val="00A751AC"/>
    <w:rsid w:val="00A8505E"/>
    <w:rsid w:val="00A91026"/>
    <w:rsid w:val="00A915BC"/>
    <w:rsid w:val="00A9356A"/>
    <w:rsid w:val="00A95619"/>
    <w:rsid w:val="00A96A54"/>
    <w:rsid w:val="00AA0CDF"/>
    <w:rsid w:val="00AA3255"/>
    <w:rsid w:val="00AA3F50"/>
    <w:rsid w:val="00AA6DBC"/>
    <w:rsid w:val="00AA7CD0"/>
    <w:rsid w:val="00AB00B5"/>
    <w:rsid w:val="00AB346C"/>
    <w:rsid w:val="00AB7495"/>
    <w:rsid w:val="00AB78EB"/>
    <w:rsid w:val="00AC075D"/>
    <w:rsid w:val="00AC14BE"/>
    <w:rsid w:val="00AC257B"/>
    <w:rsid w:val="00AC4CE4"/>
    <w:rsid w:val="00AD3599"/>
    <w:rsid w:val="00AD62A4"/>
    <w:rsid w:val="00AE1E58"/>
    <w:rsid w:val="00AE2706"/>
    <w:rsid w:val="00AE4401"/>
    <w:rsid w:val="00AE47A0"/>
    <w:rsid w:val="00AE6215"/>
    <w:rsid w:val="00B03AAD"/>
    <w:rsid w:val="00B03AD4"/>
    <w:rsid w:val="00B041BD"/>
    <w:rsid w:val="00B05CDF"/>
    <w:rsid w:val="00B10D45"/>
    <w:rsid w:val="00B11A12"/>
    <w:rsid w:val="00B13976"/>
    <w:rsid w:val="00B15785"/>
    <w:rsid w:val="00B15A3D"/>
    <w:rsid w:val="00B21CA4"/>
    <w:rsid w:val="00B3049D"/>
    <w:rsid w:val="00B327B0"/>
    <w:rsid w:val="00B3637D"/>
    <w:rsid w:val="00B36A5C"/>
    <w:rsid w:val="00B40617"/>
    <w:rsid w:val="00B408DF"/>
    <w:rsid w:val="00B4160C"/>
    <w:rsid w:val="00B532E1"/>
    <w:rsid w:val="00B5400A"/>
    <w:rsid w:val="00B5503B"/>
    <w:rsid w:val="00B65B52"/>
    <w:rsid w:val="00B65C9D"/>
    <w:rsid w:val="00B660B2"/>
    <w:rsid w:val="00B70321"/>
    <w:rsid w:val="00B75B75"/>
    <w:rsid w:val="00B821D3"/>
    <w:rsid w:val="00B8276B"/>
    <w:rsid w:val="00B830D0"/>
    <w:rsid w:val="00B86080"/>
    <w:rsid w:val="00B86E00"/>
    <w:rsid w:val="00B86E39"/>
    <w:rsid w:val="00B947E8"/>
    <w:rsid w:val="00B94FE2"/>
    <w:rsid w:val="00BA1026"/>
    <w:rsid w:val="00BA3EF3"/>
    <w:rsid w:val="00BA4850"/>
    <w:rsid w:val="00BA5776"/>
    <w:rsid w:val="00BA7A00"/>
    <w:rsid w:val="00BA7BBD"/>
    <w:rsid w:val="00BB2C2D"/>
    <w:rsid w:val="00BB4803"/>
    <w:rsid w:val="00BB4DC3"/>
    <w:rsid w:val="00BB5A6B"/>
    <w:rsid w:val="00BB76DF"/>
    <w:rsid w:val="00BC3BFE"/>
    <w:rsid w:val="00BC623E"/>
    <w:rsid w:val="00BC7357"/>
    <w:rsid w:val="00BE0328"/>
    <w:rsid w:val="00BE09A9"/>
    <w:rsid w:val="00BE0F69"/>
    <w:rsid w:val="00BE4091"/>
    <w:rsid w:val="00BE5AE0"/>
    <w:rsid w:val="00BE69EE"/>
    <w:rsid w:val="00BF0640"/>
    <w:rsid w:val="00BF0A65"/>
    <w:rsid w:val="00BF0D64"/>
    <w:rsid w:val="00BF4C02"/>
    <w:rsid w:val="00BF56E6"/>
    <w:rsid w:val="00BF62FF"/>
    <w:rsid w:val="00BF793A"/>
    <w:rsid w:val="00C02F39"/>
    <w:rsid w:val="00C032D1"/>
    <w:rsid w:val="00C04B41"/>
    <w:rsid w:val="00C05EF5"/>
    <w:rsid w:val="00C0675F"/>
    <w:rsid w:val="00C10A84"/>
    <w:rsid w:val="00C11A53"/>
    <w:rsid w:val="00C149A0"/>
    <w:rsid w:val="00C20134"/>
    <w:rsid w:val="00C21BB7"/>
    <w:rsid w:val="00C27941"/>
    <w:rsid w:val="00C30916"/>
    <w:rsid w:val="00C30D5F"/>
    <w:rsid w:val="00C361B0"/>
    <w:rsid w:val="00C379B6"/>
    <w:rsid w:val="00C37B3C"/>
    <w:rsid w:val="00C40C59"/>
    <w:rsid w:val="00C41A50"/>
    <w:rsid w:val="00C52E8D"/>
    <w:rsid w:val="00C55239"/>
    <w:rsid w:val="00C61F94"/>
    <w:rsid w:val="00C63842"/>
    <w:rsid w:val="00C64273"/>
    <w:rsid w:val="00C64663"/>
    <w:rsid w:val="00C674F5"/>
    <w:rsid w:val="00C67530"/>
    <w:rsid w:val="00C67ACD"/>
    <w:rsid w:val="00C731B8"/>
    <w:rsid w:val="00C73A22"/>
    <w:rsid w:val="00C742DC"/>
    <w:rsid w:val="00C755E0"/>
    <w:rsid w:val="00C77D15"/>
    <w:rsid w:val="00C87A1E"/>
    <w:rsid w:val="00C90D24"/>
    <w:rsid w:val="00C90F55"/>
    <w:rsid w:val="00C92C25"/>
    <w:rsid w:val="00C93132"/>
    <w:rsid w:val="00C950BD"/>
    <w:rsid w:val="00C979C4"/>
    <w:rsid w:val="00CA277E"/>
    <w:rsid w:val="00CA67C6"/>
    <w:rsid w:val="00CA7B1B"/>
    <w:rsid w:val="00CB01E2"/>
    <w:rsid w:val="00CB22F9"/>
    <w:rsid w:val="00CB5BF0"/>
    <w:rsid w:val="00CB6927"/>
    <w:rsid w:val="00CC072D"/>
    <w:rsid w:val="00CC32B2"/>
    <w:rsid w:val="00CD0667"/>
    <w:rsid w:val="00CD1E0E"/>
    <w:rsid w:val="00CD2A8C"/>
    <w:rsid w:val="00CD2DCC"/>
    <w:rsid w:val="00CD47FD"/>
    <w:rsid w:val="00CE0C68"/>
    <w:rsid w:val="00CE0E21"/>
    <w:rsid w:val="00CE2366"/>
    <w:rsid w:val="00CE383C"/>
    <w:rsid w:val="00CE42A9"/>
    <w:rsid w:val="00CE6898"/>
    <w:rsid w:val="00CE6C86"/>
    <w:rsid w:val="00CE7382"/>
    <w:rsid w:val="00CE7C11"/>
    <w:rsid w:val="00D00E93"/>
    <w:rsid w:val="00D0146D"/>
    <w:rsid w:val="00D027DE"/>
    <w:rsid w:val="00D07BB6"/>
    <w:rsid w:val="00D11118"/>
    <w:rsid w:val="00D134D9"/>
    <w:rsid w:val="00D2568A"/>
    <w:rsid w:val="00D26332"/>
    <w:rsid w:val="00D271E3"/>
    <w:rsid w:val="00D302A1"/>
    <w:rsid w:val="00D30507"/>
    <w:rsid w:val="00D35323"/>
    <w:rsid w:val="00D3550B"/>
    <w:rsid w:val="00D361E1"/>
    <w:rsid w:val="00D404FF"/>
    <w:rsid w:val="00D40E15"/>
    <w:rsid w:val="00D42FD5"/>
    <w:rsid w:val="00D441E7"/>
    <w:rsid w:val="00D459FA"/>
    <w:rsid w:val="00D45F8A"/>
    <w:rsid w:val="00D46F31"/>
    <w:rsid w:val="00D473D0"/>
    <w:rsid w:val="00D516CD"/>
    <w:rsid w:val="00D567A3"/>
    <w:rsid w:val="00D639BB"/>
    <w:rsid w:val="00D64A0C"/>
    <w:rsid w:val="00D66241"/>
    <w:rsid w:val="00D66735"/>
    <w:rsid w:val="00D71453"/>
    <w:rsid w:val="00D7170B"/>
    <w:rsid w:val="00D71E6B"/>
    <w:rsid w:val="00D72CAA"/>
    <w:rsid w:val="00D73A41"/>
    <w:rsid w:val="00D77020"/>
    <w:rsid w:val="00D80766"/>
    <w:rsid w:val="00D8132F"/>
    <w:rsid w:val="00D84A8C"/>
    <w:rsid w:val="00D84F98"/>
    <w:rsid w:val="00D86161"/>
    <w:rsid w:val="00D87129"/>
    <w:rsid w:val="00D878FD"/>
    <w:rsid w:val="00D90214"/>
    <w:rsid w:val="00D91930"/>
    <w:rsid w:val="00D9288C"/>
    <w:rsid w:val="00D9600E"/>
    <w:rsid w:val="00D961CC"/>
    <w:rsid w:val="00DA32D5"/>
    <w:rsid w:val="00DA5FD4"/>
    <w:rsid w:val="00DA7467"/>
    <w:rsid w:val="00DB0711"/>
    <w:rsid w:val="00DB0D5F"/>
    <w:rsid w:val="00DB2629"/>
    <w:rsid w:val="00DB3412"/>
    <w:rsid w:val="00DB40DF"/>
    <w:rsid w:val="00DC320B"/>
    <w:rsid w:val="00DC52D0"/>
    <w:rsid w:val="00DD174B"/>
    <w:rsid w:val="00DD567C"/>
    <w:rsid w:val="00DE0804"/>
    <w:rsid w:val="00DE2381"/>
    <w:rsid w:val="00DE25EA"/>
    <w:rsid w:val="00DE36C7"/>
    <w:rsid w:val="00DE3959"/>
    <w:rsid w:val="00DE64DF"/>
    <w:rsid w:val="00DE7404"/>
    <w:rsid w:val="00DF001F"/>
    <w:rsid w:val="00DF062A"/>
    <w:rsid w:val="00DF2426"/>
    <w:rsid w:val="00DF4A88"/>
    <w:rsid w:val="00DF67C1"/>
    <w:rsid w:val="00E000FC"/>
    <w:rsid w:val="00E00F9F"/>
    <w:rsid w:val="00E01D67"/>
    <w:rsid w:val="00E01DE2"/>
    <w:rsid w:val="00E03AB7"/>
    <w:rsid w:val="00E051BC"/>
    <w:rsid w:val="00E13D22"/>
    <w:rsid w:val="00E13E04"/>
    <w:rsid w:val="00E1578A"/>
    <w:rsid w:val="00E17694"/>
    <w:rsid w:val="00E17701"/>
    <w:rsid w:val="00E230EC"/>
    <w:rsid w:val="00E231E4"/>
    <w:rsid w:val="00E24885"/>
    <w:rsid w:val="00E26BC3"/>
    <w:rsid w:val="00E272F8"/>
    <w:rsid w:val="00E315AD"/>
    <w:rsid w:val="00E34143"/>
    <w:rsid w:val="00E35342"/>
    <w:rsid w:val="00E356F3"/>
    <w:rsid w:val="00E370DF"/>
    <w:rsid w:val="00E37320"/>
    <w:rsid w:val="00E40A6E"/>
    <w:rsid w:val="00E424B5"/>
    <w:rsid w:val="00E44507"/>
    <w:rsid w:val="00E45363"/>
    <w:rsid w:val="00E5134E"/>
    <w:rsid w:val="00E54808"/>
    <w:rsid w:val="00E62734"/>
    <w:rsid w:val="00E635DA"/>
    <w:rsid w:val="00E641F6"/>
    <w:rsid w:val="00E649DA"/>
    <w:rsid w:val="00E70F2D"/>
    <w:rsid w:val="00E7179F"/>
    <w:rsid w:val="00E71B1E"/>
    <w:rsid w:val="00E7228B"/>
    <w:rsid w:val="00E72715"/>
    <w:rsid w:val="00E7385E"/>
    <w:rsid w:val="00E7430A"/>
    <w:rsid w:val="00E80609"/>
    <w:rsid w:val="00E81E8D"/>
    <w:rsid w:val="00E84C5E"/>
    <w:rsid w:val="00E86218"/>
    <w:rsid w:val="00E864CA"/>
    <w:rsid w:val="00E86B98"/>
    <w:rsid w:val="00E86FF2"/>
    <w:rsid w:val="00E900F0"/>
    <w:rsid w:val="00E92933"/>
    <w:rsid w:val="00E92B98"/>
    <w:rsid w:val="00E951A0"/>
    <w:rsid w:val="00E96770"/>
    <w:rsid w:val="00E96BC1"/>
    <w:rsid w:val="00E97E98"/>
    <w:rsid w:val="00EA23C9"/>
    <w:rsid w:val="00EA27AC"/>
    <w:rsid w:val="00EA39B8"/>
    <w:rsid w:val="00EA6862"/>
    <w:rsid w:val="00EB0492"/>
    <w:rsid w:val="00EB04DE"/>
    <w:rsid w:val="00EB2383"/>
    <w:rsid w:val="00EB57A4"/>
    <w:rsid w:val="00EC098A"/>
    <w:rsid w:val="00EC138E"/>
    <w:rsid w:val="00EC4DAB"/>
    <w:rsid w:val="00EC5E14"/>
    <w:rsid w:val="00ED3C44"/>
    <w:rsid w:val="00ED42DF"/>
    <w:rsid w:val="00ED47BD"/>
    <w:rsid w:val="00ED6FBB"/>
    <w:rsid w:val="00EE1BEA"/>
    <w:rsid w:val="00EE35F2"/>
    <w:rsid w:val="00EE51F8"/>
    <w:rsid w:val="00EF0411"/>
    <w:rsid w:val="00EF2B8C"/>
    <w:rsid w:val="00EF42D7"/>
    <w:rsid w:val="00EF60A8"/>
    <w:rsid w:val="00F0384C"/>
    <w:rsid w:val="00F06127"/>
    <w:rsid w:val="00F11181"/>
    <w:rsid w:val="00F11414"/>
    <w:rsid w:val="00F11E67"/>
    <w:rsid w:val="00F11F9B"/>
    <w:rsid w:val="00F12518"/>
    <w:rsid w:val="00F14AA0"/>
    <w:rsid w:val="00F17242"/>
    <w:rsid w:val="00F213A4"/>
    <w:rsid w:val="00F228AB"/>
    <w:rsid w:val="00F26F77"/>
    <w:rsid w:val="00F31319"/>
    <w:rsid w:val="00F36032"/>
    <w:rsid w:val="00F415F4"/>
    <w:rsid w:val="00F43F42"/>
    <w:rsid w:val="00F462FB"/>
    <w:rsid w:val="00F46318"/>
    <w:rsid w:val="00F473DA"/>
    <w:rsid w:val="00F47AEE"/>
    <w:rsid w:val="00F51942"/>
    <w:rsid w:val="00F53D32"/>
    <w:rsid w:val="00F555B2"/>
    <w:rsid w:val="00F60B5C"/>
    <w:rsid w:val="00F61F05"/>
    <w:rsid w:val="00F63BC2"/>
    <w:rsid w:val="00F66AD3"/>
    <w:rsid w:val="00F67DB6"/>
    <w:rsid w:val="00F72022"/>
    <w:rsid w:val="00F75149"/>
    <w:rsid w:val="00F84434"/>
    <w:rsid w:val="00F8452B"/>
    <w:rsid w:val="00F87D8B"/>
    <w:rsid w:val="00F945CA"/>
    <w:rsid w:val="00F97ACA"/>
    <w:rsid w:val="00FA192D"/>
    <w:rsid w:val="00FA2D9B"/>
    <w:rsid w:val="00FA5BCA"/>
    <w:rsid w:val="00FA7DB9"/>
    <w:rsid w:val="00FB0C50"/>
    <w:rsid w:val="00FB5109"/>
    <w:rsid w:val="00FB5AB7"/>
    <w:rsid w:val="00FB7FF1"/>
    <w:rsid w:val="00FC17F9"/>
    <w:rsid w:val="00FC2773"/>
    <w:rsid w:val="00FC2A6C"/>
    <w:rsid w:val="00FC34AD"/>
    <w:rsid w:val="00FC3F69"/>
    <w:rsid w:val="00FC4DF9"/>
    <w:rsid w:val="00FC5C39"/>
    <w:rsid w:val="00FC5F0B"/>
    <w:rsid w:val="00FD10E5"/>
    <w:rsid w:val="00FD2055"/>
    <w:rsid w:val="00FD3000"/>
    <w:rsid w:val="00FD4317"/>
    <w:rsid w:val="00FD5CC9"/>
    <w:rsid w:val="00FD7228"/>
    <w:rsid w:val="00FE0C9F"/>
    <w:rsid w:val="00FE1247"/>
    <w:rsid w:val="00FE2903"/>
    <w:rsid w:val="00FE4438"/>
    <w:rsid w:val="00FE4D68"/>
    <w:rsid w:val="00FE5D07"/>
    <w:rsid w:val="00FE6FCA"/>
    <w:rsid w:val="00FF0094"/>
    <w:rsid w:val="00FF28A0"/>
    <w:rsid w:val="00FF39EF"/>
    <w:rsid w:val="00FF4061"/>
    <w:rsid w:val="00FF409C"/>
    <w:rsid w:val="00FF5B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368D8A"/>
  <w15:docId w15:val="{51A90033-8A1A-4ECE-BCFB-5D02669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36"/>
    <w:pPr>
      <w:spacing w:before="300" w:line="293" w:lineRule="auto"/>
    </w:pPr>
    <w:rPr>
      <w:color w:val="453F43" w:themeColor="background2"/>
      <w:sz w:val="20"/>
    </w:rPr>
  </w:style>
  <w:style w:type="paragraph" w:styleId="Heading1">
    <w:name w:val="heading 1"/>
    <w:aliases w:val="Heading 1 (only)"/>
    <w:next w:val="Normal"/>
    <w:link w:val="Heading1Char"/>
    <w:uiPriority w:val="9"/>
    <w:qFormat/>
    <w:rsid w:val="001560AD"/>
    <w:pPr>
      <w:keepNext/>
      <w:keepLines/>
      <w:pageBreakBefore/>
      <w:spacing w:after="1200"/>
      <w:outlineLvl w:val="0"/>
    </w:pPr>
    <w:rPr>
      <w:rFonts w:asciiTheme="majorHAnsi" w:eastAsiaTheme="majorEastAsia" w:hAnsiTheme="majorHAnsi" w:cstheme="majorBidi"/>
      <w:b/>
      <w:bCs/>
      <w:color w:val="C3105A" w:themeColor="text2"/>
      <w:sz w:val="60"/>
      <w:szCs w:val="32"/>
    </w:rPr>
  </w:style>
  <w:style w:type="paragraph" w:styleId="Heading2">
    <w:name w:val="heading 2"/>
    <w:link w:val="Heading2Char"/>
    <w:uiPriority w:val="9"/>
    <w:unhideWhenUsed/>
    <w:qFormat/>
    <w:rsid w:val="0090479C"/>
    <w:pPr>
      <w:keepNext/>
      <w:keepLines/>
      <w:spacing w:before="340" w:line="340" w:lineRule="exact"/>
      <w:outlineLvl w:val="1"/>
    </w:pPr>
    <w:rPr>
      <w:rFonts w:asciiTheme="majorHAnsi" w:eastAsiaTheme="majorEastAsia" w:hAnsiTheme="majorHAnsi" w:cstheme="majorBidi"/>
      <w:b/>
      <w:bCs/>
      <w:color w:val="C3105A" w:themeColor="text2"/>
      <w:sz w:val="26"/>
      <w:szCs w:val="26"/>
    </w:rPr>
  </w:style>
  <w:style w:type="paragraph" w:styleId="Heading3">
    <w:name w:val="heading 3"/>
    <w:basedOn w:val="Normal"/>
    <w:next w:val="Normal"/>
    <w:link w:val="Heading3Char"/>
    <w:uiPriority w:val="9"/>
    <w:unhideWhenUsed/>
    <w:qFormat/>
    <w:rsid w:val="0090479C"/>
    <w:pPr>
      <w:keepNext/>
      <w:keepLines/>
      <w:spacing w:line="340" w:lineRule="exact"/>
      <w:outlineLvl w:val="2"/>
    </w:pPr>
    <w:rPr>
      <w:rFonts w:asciiTheme="majorHAnsi" w:eastAsiaTheme="majorEastAsia" w:hAnsiTheme="majorHAnsi" w:cstheme="majorBidi"/>
      <w:b/>
      <w:bCs/>
      <w:color w:val="C3105A" w:themeColor="text2"/>
      <w:sz w:val="22"/>
    </w:rPr>
  </w:style>
  <w:style w:type="paragraph" w:styleId="Heading4">
    <w:name w:val="heading 4"/>
    <w:link w:val="Heading4Char"/>
    <w:uiPriority w:val="9"/>
    <w:unhideWhenUsed/>
    <w:qFormat/>
    <w:rsid w:val="0090479C"/>
    <w:pPr>
      <w:keepNext/>
      <w:keepLines/>
      <w:spacing w:before="200" w:line="293" w:lineRule="auto"/>
      <w:outlineLvl w:val="3"/>
    </w:pPr>
    <w:rPr>
      <w:rFonts w:asciiTheme="majorHAnsi" w:eastAsiaTheme="majorEastAsia" w:hAnsiTheme="majorHAnsi" w:cstheme="majorBidi"/>
      <w:bCs/>
      <w:iCs/>
      <w:color w:val="C3105A" w:themeColor="accent1"/>
      <w:sz w:val="20"/>
    </w:rPr>
  </w:style>
  <w:style w:type="paragraph" w:styleId="Heading5">
    <w:name w:val="heading 5"/>
    <w:basedOn w:val="Normal"/>
    <w:next w:val="Normal"/>
    <w:link w:val="Heading5Char"/>
    <w:uiPriority w:val="9"/>
    <w:semiHidden/>
    <w:unhideWhenUsed/>
    <w:rsid w:val="00EB2383"/>
    <w:pPr>
      <w:keepNext/>
      <w:keepLines/>
      <w:spacing w:before="200"/>
      <w:outlineLvl w:val="4"/>
    </w:pPr>
    <w:rPr>
      <w:rFonts w:asciiTheme="majorHAnsi" w:eastAsiaTheme="majorEastAsia" w:hAnsiTheme="majorHAnsi" w:cstheme="majorBidi"/>
      <w:color w:val="C3105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only) Char"/>
    <w:basedOn w:val="DefaultParagraphFont"/>
    <w:link w:val="Heading1"/>
    <w:uiPriority w:val="9"/>
    <w:rsid w:val="001560AD"/>
    <w:rPr>
      <w:rFonts w:asciiTheme="majorHAnsi" w:eastAsiaTheme="majorEastAsia" w:hAnsiTheme="majorHAnsi" w:cstheme="majorBidi"/>
      <w:b/>
      <w:bCs/>
      <w:color w:val="C3105A" w:themeColor="text2"/>
      <w:sz w:val="60"/>
      <w:szCs w:val="32"/>
    </w:rPr>
  </w:style>
  <w:style w:type="character" w:customStyle="1" w:styleId="Heading2Char">
    <w:name w:val="Heading 2 Char"/>
    <w:basedOn w:val="DefaultParagraphFont"/>
    <w:link w:val="Heading2"/>
    <w:uiPriority w:val="9"/>
    <w:rsid w:val="0090479C"/>
    <w:rPr>
      <w:rFonts w:asciiTheme="majorHAnsi" w:eastAsiaTheme="majorEastAsia" w:hAnsiTheme="majorHAnsi" w:cstheme="majorBidi"/>
      <w:b/>
      <w:bCs/>
      <w:color w:val="C3105A" w:themeColor="text2"/>
      <w:sz w:val="26"/>
      <w:szCs w:val="26"/>
    </w:rPr>
  </w:style>
  <w:style w:type="character" w:customStyle="1" w:styleId="Heading3Char">
    <w:name w:val="Heading 3 Char"/>
    <w:basedOn w:val="DefaultParagraphFont"/>
    <w:link w:val="Heading3"/>
    <w:uiPriority w:val="9"/>
    <w:rsid w:val="0090479C"/>
    <w:rPr>
      <w:rFonts w:asciiTheme="majorHAnsi" w:eastAsiaTheme="majorEastAsia" w:hAnsiTheme="majorHAnsi" w:cstheme="majorBidi"/>
      <w:b/>
      <w:bCs/>
      <w:color w:val="C3105A" w:themeColor="text2"/>
      <w:sz w:val="22"/>
    </w:rPr>
  </w:style>
  <w:style w:type="character" w:customStyle="1" w:styleId="Heading4Char">
    <w:name w:val="Heading 4 Char"/>
    <w:basedOn w:val="DefaultParagraphFont"/>
    <w:link w:val="Heading4"/>
    <w:uiPriority w:val="9"/>
    <w:rsid w:val="0090479C"/>
    <w:rPr>
      <w:rFonts w:asciiTheme="majorHAnsi" w:eastAsiaTheme="majorEastAsia" w:hAnsiTheme="majorHAnsi" w:cstheme="majorBidi"/>
      <w:bCs/>
      <w:iCs/>
      <w:color w:val="C3105A" w:themeColor="accent1"/>
      <w:sz w:val="20"/>
    </w:rPr>
  </w:style>
  <w:style w:type="paragraph" w:customStyle="1" w:styleId="Author">
    <w:name w:val="Author"/>
    <w:qFormat/>
    <w:rsid w:val="006738C3"/>
    <w:rPr>
      <w:rFonts w:eastAsiaTheme="majorEastAsia" w:cstheme="majorBidi"/>
      <w:color w:val="FFFFFF" w:themeColor="background1"/>
    </w:rPr>
  </w:style>
  <w:style w:type="paragraph" w:styleId="Header">
    <w:name w:val="header"/>
    <w:basedOn w:val="Normal"/>
    <w:link w:val="HeaderChar"/>
    <w:uiPriority w:val="99"/>
    <w:unhideWhenUsed/>
    <w:rsid w:val="00C6427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C64273"/>
    <w:rPr>
      <w:color w:val="453F43" w:themeColor="background2"/>
      <w:sz w:val="20"/>
    </w:rPr>
  </w:style>
  <w:style w:type="paragraph" w:styleId="Footer">
    <w:name w:val="footer"/>
    <w:basedOn w:val="Normal"/>
    <w:link w:val="FooterChar"/>
    <w:autoRedefine/>
    <w:uiPriority w:val="99"/>
    <w:unhideWhenUsed/>
    <w:rsid w:val="00E92933"/>
    <w:pPr>
      <w:spacing w:before="0" w:line="240" w:lineRule="auto"/>
    </w:pPr>
    <w:rPr>
      <w:color w:val="6B656A" w:themeColor="accent6"/>
      <w:sz w:val="18"/>
    </w:rPr>
  </w:style>
  <w:style w:type="character" w:styleId="PageNumber">
    <w:name w:val="page number"/>
    <w:basedOn w:val="DefaultParagraphFont"/>
    <w:uiPriority w:val="99"/>
    <w:semiHidden/>
    <w:unhideWhenUsed/>
    <w:rsid w:val="005264C1"/>
  </w:style>
  <w:style w:type="character" w:customStyle="1" w:styleId="FooterChar">
    <w:name w:val="Footer Char"/>
    <w:basedOn w:val="DefaultParagraphFont"/>
    <w:link w:val="Footer"/>
    <w:uiPriority w:val="99"/>
    <w:rsid w:val="00E92933"/>
    <w:rPr>
      <w:color w:val="6B656A" w:themeColor="accent6"/>
      <w:sz w:val="18"/>
    </w:rPr>
  </w:style>
  <w:style w:type="paragraph" w:customStyle="1" w:styleId="Heading1withsubtitle">
    <w:name w:val="Heading 1 (with subtitle)"/>
    <w:basedOn w:val="Heading1"/>
    <w:link w:val="Heading1withsubtitleChar"/>
    <w:qFormat/>
    <w:rsid w:val="006118AD"/>
    <w:pPr>
      <w:spacing w:after="200"/>
    </w:pPr>
    <w:rPr>
      <w:bCs w:val="0"/>
    </w:rPr>
  </w:style>
  <w:style w:type="character" w:customStyle="1" w:styleId="Heading1withsubtitleChar">
    <w:name w:val="Heading 1 (with subtitle) Char"/>
    <w:basedOn w:val="DefaultParagraphFont"/>
    <w:link w:val="Heading1withsubtitle"/>
    <w:rsid w:val="006118AD"/>
    <w:rPr>
      <w:rFonts w:asciiTheme="majorHAnsi" w:eastAsiaTheme="majorEastAsia" w:hAnsiTheme="majorHAnsi" w:cstheme="majorBidi"/>
      <w:b/>
      <w:color w:val="C3105A" w:themeColor="text2"/>
      <w:sz w:val="60"/>
      <w:szCs w:val="32"/>
    </w:rPr>
  </w:style>
  <w:style w:type="paragraph" w:customStyle="1" w:styleId="FigureTitle">
    <w:name w:val="Figure Title"/>
    <w:basedOn w:val="Normal"/>
    <w:next w:val="Normal"/>
    <w:link w:val="FigureTitleChar"/>
    <w:qFormat/>
    <w:rsid w:val="00A96A54"/>
    <w:pPr>
      <w:pBdr>
        <w:top w:val="single" w:sz="8" w:space="10" w:color="C3105A" w:themeColor="text2"/>
      </w:pBdr>
      <w:spacing w:after="140" w:line="300" w:lineRule="exact"/>
    </w:pPr>
    <w:rPr>
      <w:b/>
      <w:color w:val="C3105A" w:themeColor="text2"/>
      <w:szCs w:val="20"/>
    </w:rPr>
  </w:style>
  <w:style w:type="paragraph" w:customStyle="1" w:styleId="Quotetext">
    <w:name w:val="Quote text"/>
    <w:basedOn w:val="Normal"/>
    <w:qFormat/>
    <w:rsid w:val="00F72022"/>
    <w:pPr>
      <w:pBdr>
        <w:top w:val="single" w:sz="8" w:space="7" w:color="C3105A" w:themeColor="text2"/>
        <w:bottom w:val="single" w:sz="8" w:space="10" w:color="C3105A" w:themeColor="text2"/>
      </w:pBdr>
      <w:spacing w:before="280" w:after="280" w:line="340" w:lineRule="exact"/>
      <w:ind w:left="567"/>
    </w:pPr>
    <w:rPr>
      <w:b/>
      <w:color w:val="D64379" w:themeColor="accent4"/>
      <w:sz w:val="22"/>
      <w:szCs w:val="22"/>
    </w:rPr>
  </w:style>
  <w:style w:type="paragraph" w:styleId="ListParagraph">
    <w:name w:val="List Paragraph"/>
    <w:link w:val="ListParagraphChar"/>
    <w:uiPriority w:val="34"/>
    <w:qFormat/>
    <w:rsid w:val="00DE2381"/>
    <w:pPr>
      <w:numPr>
        <w:numId w:val="1"/>
      </w:numPr>
      <w:spacing w:before="300" w:line="300" w:lineRule="exact"/>
      <w:contextualSpacing/>
    </w:pPr>
    <w:rPr>
      <w:color w:val="453F43" w:themeColor="background2"/>
      <w:sz w:val="20"/>
      <w:szCs w:val="20"/>
    </w:rPr>
  </w:style>
  <w:style w:type="character" w:customStyle="1" w:styleId="ListParagraphChar">
    <w:name w:val="List Paragraph Char"/>
    <w:basedOn w:val="DefaultParagraphFont"/>
    <w:link w:val="ListParagraph"/>
    <w:uiPriority w:val="34"/>
    <w:rsid w:val="00DE2381"/>
    <w:rPr>
      <w:color w:val="453F43" w:themeColor="background2"/>
      <w:sz w:val="20"/>
      <w:szCs w:val="20"/>
    </w:rPr>
  </w:style>
  <w:style w:type="character" w:customStyle="1" w:styleId="Link">
    <w:name w:val="Link"/>
    <w:basedOn w:val="DefaultParagraphFont"/>
    <w:autoRedefine/>
    <w:uiPriority w:val="1"/>
    <w:qFormat/>
    <w:rsid w:val="00096F96"/>
    <w:rPr>
      <w:rFonts w:asciiTheme="minorHAnsi" w:hAnsiTheme="minorHAnsi"/>
      <w:b w:val="0"/>
      <w:bCs w:val="0"/>
      <w:i w:val="0"/>
      <w:iCs w:val="0"/>
      <w:color w:val="453F43" w:themeColor="background2"/>
      <w:sz w:val="20"/>
      <w:szCs w:val="20"/>
      <w:u w:val="single"/>
    </w:rPr>
  </w:style>
  <w:style w:type="paragraph" w:customStyle="1" w:styleId="Source">
    <w:name w:val="Source"/>
    <w:qFormat/>
    <w:rsid w:val="006275CA"/>
    <w:pPr>
      <w:pBdr>
        <w:bottom w:val="single" w:sz="8" w:space="10" w:color="C3105A" w:themeColor="text2"/>
      </w:pBdr>
      <w:spacing w:before="120" w:after="120" w:line="220" w:lineRule="exact"/>
    </w:pPr>
    <w:rPr>
      <w:color w:val="453F43" w:themeColor="background2"/>
      <w:sz w:val="16"/>
      <w:szCs w:val="16"/>
    </w:rPr>
  </w:style>
  <w:style w:type="paragraph" w:customStyle="1" w:styleId="BoxStyle">
    <w:name w:val="Box Style"/>
    <w:basedOn w:val="Quotetext"/>
    <w:qFormat/>
    <w:rsid w:val="00CE383C"/>
    <w:pPr>
      <w:pBdr>
        <w:top w:val="none" w:sz="0" w:space="0" w:color="auto"/>
      </w:pBdr>
      <w:spacing w:line="300" w:lineRule="exact"/>
    </w:pPr>
    <w:rPr>
      <w:b w:val="0"/>
      <w:color w:val="453F43" w:themeColor="background2"/>
      <w:sz w:val="20"/>
    </w:rPr>
  </w:style>
  <w:style w:type="paragraph" w:customStyle="1" w:styleId="Boxtitle">
    <w:name w:val="Box title"/>
    <w:basedOn w:val="FigureTitle"/>
    <w:qFormat/>
    <w:rsid w:val="00F72022"/>
    <w:pPr>
      <w:ind w:left="567"/>
    </w:pPr>
    <w:rPr>
      <w:bCs/>
      <w:sz w:val="24"/>
      <w:szCs w:val="24"/>
    </w:rPr>
  </w:style>
  <w:style w:type="character" w:styleId="EndnoteReference">
    <w:name w:val="endnote reference"/>
    <w:qFormat/>
    <w:rsid w:val="008B5908"/>
    <w:rPr>
      <w:rFonts w:asciiTheme="minorHAnsi" w:hAnsiTheme="minorHAnsi"/>
      <w:color w:val="auto"/>
      <w:sz w:val="20"/>
      <w:vertAlign w:val="superscript"/>
    </w:rPr>
  </w:style>
  <w:style w:type="paragraph" w:styleId="EndnoteText">
    <w:name w:val="endnote text"/>
    <w:basedOn w:val="Normal"/>
    <w:link w:val="EndnoteTextChar"/>
    <w:qFormat/>
    <w:rsid w:val="00DE25EA"/>
    <w:pPr>
      <w:keepLines/>
      <w:spacing w:before="0" w:line="276" w:lineRule="auto"/>
    </w:pPr>
    <w:rPr>
      <w:rFonts w:eastAsia="Arial" w:cs="Times New Roman"/>
      <w:sz w:val="16"/>
      <w:szCs w:val="20"/>
      <w:lang w:eastAsia="en-GB"/>
    </w:rPr>
  </w:style>
  <w:style w:type="character" w:customStyle="1" w:styleId="EndnoteTextChar">
    <w:name w:val="Endnote Text Char"/>
    <w:basedOn w:val="DefaultParagraphFont"/>
    <w:link w:val="EndnoteText"/>
    <w:rsid w:val="00DE25EA"/>
    <w:rPr>
      <w:rFonts w:eastAsia="Arial" w:cs="Times New Roman"/>
      <w:color w:val="453F43" w:themeColor="background2"/>
      <w:sz w:val="16"/>
      <w:szCs w:val="20"/>
      <w:lang w:eastAsia="en-GB"/>
    </w:rPr>
  </w:style>
  <w:style w:type="paragraph" w:customStyle="1" w:styleId="Tabletitle">
    <w:name w:val="Table title"/>
    <w:basedOn w:val="FigureTitle"/>
    <w:qFormat/>
    <w:rsid w:val="00416912"/>
    <w:pPr>
      <w:spacing w:line="340" w:lineRule="exact"/>
    </w:pPr>
    <w:rPr>
      <w:bCs/>
      <w:lang w:eastAsia="en-GB"/>
    </w:rPr>
  </w:style>
  <w:style w:type="paragraph" w:customStyle="1" w:styleId="ListParagraphnumbers">
    <w:name w:val="List Paragraph (numbers)"/>
    <w:basedOn w:val="ListParagraph"/>
    <w:link w:val="ListParagraphnumbersChar"/>
    <w:qFormat/>
    <w:rsid w:val="00237CFC"/>
    <w:pPr>
      <w:numPr>
        <w:numId w:val="2"/>
      </w:numPr>
    </w:pPr>
  </w:style>
  <w:style w:type="character" w:customStyle="1" w:styleId="ListParagraphnumbersChar">
    <w:name w:val="List Paragraph (numbers) Char"/>
    <w:basedOn w:val="ListParagraphChar"/>
    <w:link w:val="ListParagraphnumbers"/>
    <w:rsid w:val="00237CFC"/>
    <w:rPr>
      <w:color w:val="453F43" w:themeColor="background2"/>
      <w:sz w:val="20"/>
      <w:szCs w:val="20"/>
    </w:rPr>
  </w:style>
  <w:style w:type="paragraph" w:customStyle="1" w:styleId="TableHead">
    <w:name w:val="Table Head"/>
    <w:qFormat/>
    <w:rsid w:val="0055688C"/>
    <w:pPr>
      <w:spacing w:before="120" w:after="40" w:line="260" w:lineRule="exact"/>
    </w:pPr>
    <w:rPr>
      <w:rFonts w:ascii="Arial" w:eastAsia="Arial" w:hAnsi="Arial"/>
      <w:bCs/>
      <w:color w:val="FFFFFF" w:themeColor="background1"/>
      <w:sz w:val="20"/>
      <w:szCs w:val="20"/>
      <w:lang w:eastAsia="en-GB"/>
    </w:rPr>
  </w:style>
  <w:style w:type="paragraph" w:customStyle="1" w:styleId="Tabletext">
    <w:name w:val="Table text"/>
    <w:qFormat/>
    <w:rsid w:val="007A7361"/>
    <w:pPr>
      <w:spacing w:line="260" w:lineRule="exact"/>
    </w:pPr>
    <w:rPr>
      <w:color w:val="453F43" w:themeColor="background2"/>
      <w:sz w:val="18"/>
      <w:szCs w:val="22"/>
    </w:rPr>
  </w:style>
  <w:style w:type="table" w:customStyle="1" w:styleId="DItable">
    <w:name w:val="DI table"/>
    <w:basedOn w:val="TableNormal"/>
    <w:uiPriority w:val="99"/>
    <w:qFormat/>
    <w:rsid w:val="00DD567C"/>
    <w:pPr>
      <w:spacing w:before="120" w:after="120"/>
    </w:pPr>
    <w:rPr>
      <w:rFonts w:eastAsia="Arial"/>
      <w:color w:val="453F43" w:themeColor="background2"/>
      <w:sz w:val="18"/>
      <w:szCs w:val="22"/>
      <w:lang w:eastAsia="en-GB"/>
    </w:rPr>
    <w:tblPr>
      <w:tblBorders>
        <w:bottom w:val="single" w:sz="8" w:space="0" w:color="C3105A" w:themeColor="text2"/>
        <w:insideH w:val="single" w:sz="8" w:space="0" w:color="C3105A" w:themeColor="text2"/>
      </w:tblBorders>
    </w:tblPr>
    <w:tcPr>
      <w:shd w:val="clear" w:color="auto" w:fill="auto"/>
    </w:tc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D64379" w:themeFill="accent4"/>
      </w:tcPr>
    </w:tblStylePr>
    <w:tblStylePr w:type="lastRow">
      <w:rPr>
        <w:rFonts w:asciiTheme="minorHAnsi" w:hAnsiTheme="minorHAnsi"/>
        <w:color w:val="453F43" w:themeColor="background2"/>
        <w:sz w:val="18"/>
      </w:rPr>
      <w:tblPr/>
      <w:tcPr>
        <w:tcBorders>
          <w:insideH w:val="nil"/>
        </w:tcBorders>
        <w:shd w:val="clear" w:color="auto" w:fill="FFFFFF" w:themeFill="background1"/>
      </w:tcPr>
    </w:tblStylePr>
    <w:tblStylePr w:type="firstCol">
      <w:rPr>
        <w:b w:val="0"/>
      </w:rPr>
    </w:tblStylePr>
  </w:style>
  <w:style w:type="paragraph" w:styleId="Caption">
    <w:name w:val="caption"/>
    <w:basedOn w:val="Normal"/>
    <w:next w:val="Normal"/>
    <w:uiPriority w:val="35"/>
    <w:semiHidden/>
    <w:unhideWhenUsed/>
    <w:qFormat/>
    <w:rsid w:val="007B3415"/>
    <w:pPr>
      <w:spacing w:before="0" w:after="200" w:line="240" w:lineRule="auto"/>
    </w:pPr>
    <w:rPr>
      <w:b/>
      <w:bCs/>
      <w:color w:val="C3105A" w:themeColor="accent1"/>
      <w:sz w:val="18"/>
      <w:szCs w:val="18"/>
    </w:rPr>
  </w:style>
  <w:style w:type="paragraph" w:styleId="BalloonText">
    <w:name w:val="Balloon Text"/>
    <w:basedOn w:val="Normal"/>
    <w:link w:val="BalloonTextChar"/>
    <w:uiPriority w:val="99"/>
    <w:semiHidden/>
    <w:unhideWhenUsed/>
    <w:rsid w:val="00CD2DCC"/>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DCC"/>
    <w:rPr>
      <w:rFonts w:ascii="Lucida Grande" w:hAnsi="Lucida Grande" w:cs="Lucida Grande"/>
      <w:color w:val="453F43" w:themeColor="background2"/>
      <w:sz w:val="18"/>
      <w:szCs w:val="18"/>
    </w:rPr>
  </w:style>
  <w:style w:type="paragraph" w:customStyle="1" w:styleId="ReportTitle">
    <w:name w:val="Report Title"/>
    <w:basedOn w:val="Heading1"/>
    <w:qFormat/>
    <w:rsid w:val="00E7228B"/>
    <w:pPr>
      <w:spacing w:after="300" w:line="800" w:lineRule="exact"/>
      <w:outlineLvl w:val="9"/>
    </w:pPr>
    <w:rPr>
      <w:color w:val="FFFFFF" w:themeColor="background1"/>
      <w:sz w:val="80"/>
    </w:rPr>
  </w:style>
  <w:style w:type="paragraph" w:customStyle="1" w:styleId="Dateofpublication">
    <w:name w:val="Date of publication"/>
    <w:qFormat/>
    <w:rsid w:val="00DC52D0"/>
    <w:pPr>
      <w:spacing w:after="240"/>
    </w:pPr>
    <w:rPr>
      <w:rFonts w:eastAsiaTheme="majorEastAsia" w:cstheme="majorBidi"/>
      <w:bCs/>
      <w:color w:val="FFFFFF" w:themeColor="background1"/>
      <w:szCs w:val="32"/>
    </w:rPr>
  </w:style>
  <w:style w:type="paragraph" w:customStyle="1" w:styleId="Reportsubtitle">
    <w:name w:val="Report subtitle"/>
    <w:basedOn w:val="ReportTitle"/>
    <w:qFormat/>
    <w:rsid w:val="00C52E8D"/>
    <w:pPr>
      <w:spacing w:line="240" w:lineRule="auto"/>
    </w:pPr>
    <w:rPr>
      <w:b w:val="0"/>
      <w:sz w:val="32"/>
    </w:rPr>
  </w:style>
  <w:style w:type="paragraph" w:customStyle="1" w:styleId="Tablesubhead">
    <w:name w:val="Table subhead"/>
    <w:basedOn w:val="Tabletext"/>
    <w:qFormat/>
    <w:rsid w:val="00DD567C"/>
    <w:pPr>
      <w:spacing w:before="120" w:after="120"/>
    </w:pPr>
    <w:rPr>
      <w:rFonts w:eastAsia="Arial"/>
      <w:b/>
      <w:color w:val="D64379" w:themeColor="accent4"/>
      <w:sz w:val="20"/>
      <w:lang w:eastAsia="en-GB"/>
    </w:rPr>
  </w:style>
  <w:style w:type="paragraph" w:customStyle="1" w:styleId="Tabletextwithbullets">
    <w:name w:val="Table text with bullets"/>
    <w:basedOn w:val="Tabletext"/>
    <w:qFormat/>
    <w:rsid w:val="003B20ED"/>
    <w:pPr>
      <w:numPr>
        <w:numId w:val="3"/>
      </w:numPr>
    </w:pPr>
    <w:rPr>
      <w:szCs w:val="18"/>
    </w:rPr>
  </w:style>
  <w:style w:type="paragraph" w:customStyle="1" w:styleId="Tablesource">
    <w:name w:val="Table source"/>
    <w:basedOn w:val="Tabletext"/>
    <w:qFormat/>
    <w:rsid w:val="004B38A5"/>
    <w:rPr>
      <w:color w:val="92888F" w:themeColor="background2" w:themeTint="99"/>
      <w:sz w:val="16"/>
    </w:rPr>
  </w:style>
  <w:style w:type="paragraph" w:styleId="TOCHeading">
    <w:name w:val="TOC Heading"/>
    <w:basedOn w:val="Heading1"/>
    <w:next w:val="Normal"/>
    <w:uiPriority w:val="39"/>
    <w:unhideWhenUsed/>
    <w:qFormat/>
    <w:rsid w:val="00AB78EB"/>
    <w:pPr>
      <w:outlineLvl w:val="9"/>
    </w:pPr>
    <w:rPr>
      <w:szCs w:val="60"/>
    </w:rPr>
  </w:style>
  <w:style w:type="paragraph" w:styleId="TOC1">
    <w:name w:val="toc 1"/>
    <w:basedOn w:val="Normal"/>
    <w:next w:val="Normal"/>
    <w:uiPriority w:val="39"/>
    <w:unhideWhenUsed/>
    <w:qFormat/>
    <w:rsid w:val="00956B81"/>
    <w:pPr>
      <w:tabs>
        <w:tab w:val="right" w:leader="dot" w:pos="7694"/>
      </w:tabs>
      <w:spacing w:after="100"/>
    </w:pPr>
    <w:rPr>
      <w:noProof/>
      <w:color w:val="C3105A" w:themeColor="text2"/>
      <w:szCs w:val="20"/>
    </w:rPr>
  </w:style>
  <w:style w:type="paragraph" w:styleId="TOC2">
    <w:name w:val="toc 2"/>
    <w:basedOn w:val="Normal"/>
    <w:next w:val="Normal"/>
    <w:uiPriority w:val="39"/>
    <w:unhideWhenUsed/>
    <w:qFormat/>
    <w:rsid w:val="006E79BF"/>
    <w:pPr>
      <w:tabs>
        <w:tab w:val="right" w:leader="dot" w:pos="7694"/>
      </w:tabs>
      <w:spacing w:before="150" w:after="100"/>
      <w:ind w:left="340"/>
    </w:pPr>
  </w:style>
  <w:style w:type="table" w:styleId="TableGrid">
    <w:name w:val="Table Grid"/>
    <w:aliases w:val="Acronym list"/>
    <w:basedOn w:val="TableNormal"/>
    <w:uiPriority w:val="59"/>
    <w:rsid w:val="00CE0E21"/>
    <w:pPr>
      <w:tabs>
        <w:tab w:val="left" w:pos="851"/>
      </w:tabs>
    </w:pPr>
    <w:rPr>
      <w:color w:val="6B656A" w:themeColor="accent6"/>
      <w:sz w:val="18"/>
    </w:rPr>
    <w:tblPr/>
    <w:tblStylePr w:type="firstCol">
      <w:pPr>
        <w:jc w:val="left"/>
      </w:pPr>
      <w:rPr>
        <w:rFonts w:asciiTheme="minorHAnsi" w:hAnsiTheme="minorHAnsi"/>
        <w:b/>
        <w:sz w:val="18"/>
      </w:rPr>
      <w:tblPr/>
      <w:tcPr>
        <w:tcBorders>
          <w:top w:val="nil"/>
          <w:left w:val="nil"/>
          <w:bottom w:val="nil"/>
          <w:right w:val="nil"/>
          <w:insideH w:val="nil"/>
          <w:insideV w:val="nil"/>
          <w:tl2br w:val="nil"/>
          <w:tr2bl w:val="nil"/>
        </w:tcBorders>
      </w:tcPr>
    </w:tblStylePr>
  </w:style>
  <w:style w:type="paragraph" w:customStyle="1" w:styleId="Endnotesheading">
    <w:name w:val="Endnotes heading"/>
    <w:basedOn w:val="Heading1"/>
    <w:link w:val="EndnotesheadingChar"/>
    <w:qFormat/>
    <w:rsid w:val="006118AD"/>
    <w:pPr>
      <w:spacing w:after="600"/>
    </w:pPr>
  </w:style>
  <w:style w:type="character" w:customStyle="1" w:styleId="EndnotesheadingChar">
    <w:name w:val="Endnotes heading Char"/>
    <w:basedOn w:val="Heading1Char"/>
    <w:link w:val="Endnotesheading"/>
    <w:rsid w:val="006118AD"/>
    <w:rPr>
      <w:rFonts w:asciiTheme="majorHAnsi" w:eastAsiaTheme="majorEastAsia" w:hAnsiTheme="majorHAnsi" w:cstheme="majorBidi"/>
      <w:b/>
      <w:bCs/>
      <w:color w:val="C3105A" w:themeColor="text2"/>
      <w:sz w:val="60"/>
      <w:szCs w:val="32"/>
    </w:rPr>
  </w:style>
  <w:style w:type="character" w:customStyle="1" w:styleId="Heading5Char">
    <w:name w:val="Heading 5 Char"/>
    <w:basedOn w:val="DefaultParagraphFont"/>
    <w:link w:val="Heading5"/>
    <w:uiPriority w:val="9"/>
    <w:semiHidden/>
    <w:rsid w:val="00EB2383"/>
    <w:rPr>
      <w:rFonts w:asciiTheme="majorHAnsi" w:eastAsiaTheme="majorEastAsia" w:hAnsiTheme="majorHAnsi" w:cstheme="majorBidi"/>
      <w:color w:val="C3105A" w:themeColor="text2"/>
      <w:sz w:val="20"/>
    </w:rPr>
  </w:style>
  <w:style w:type="paragraph" w:styleId="TOC3">
    <w:name w:val="toc 3"/>
    <w:basedOn w:val="TOC2"/>
    <w:uiPriority w:val="39"/>
    <w:unhideWhenUsed/>
    <w:rsid w:val="009172A1"/>
  </w:style>
  <w:style w:type="paragraph" w:customStyle="1" w:styleId="Acronymtext">
    <w:name w:val="Acronym text"/>
    <w:basedOn w:val="Normal"/>
    <w:qFormat/>
    <w:rsid w:val="00A30173"/>
    <w:pPr>
      <w:tabs>
        <w:tab w:val="left" w:pos="851"/>
      </w:tabs>
      <w:spacing w:before="0"/>
      <w:contextualSpacing/>
    </w:pPr>
    <w:rPr>
      <w:sz w:val="18"/>
    </w:rPr>
  </w:style>
  <w:style w:type="character" w:styleId="Hyperlink">
    <w:name w:val="Hyperlink"/>
    <w:basedOn w:val="DefaultParagraphFont"/>
    <w:uiPriority w:val="99"/>
    <w:unhideWhenUsed/>
    <w:rsid w:val="00AC14BE"/>
    <w:rPr>
      <w:color w:val="C3105A" w:themeColor="hyperlink"/>
      <w:u w:val="single"/>
    </w:rPr>
  </w:style>
  <w:style w:type="paragraph" w:customStyle="1" w:styleId="Backpagetext">
    <w:name w:val="Back page text"/>
    <w:basedOn w:val="Normal"/>
    <w:qFormat/>
    <w:rsid w:val="00C90F55"/>
    <w:pPr>
      <w:keepLines/>
      <w:spacing w:before="0" w:after="300" w:line="240" w:lineRule="exact"/>
    </w:pPr>
    <w:rPr>
      <w:sz w:val="16"/>
      <w:szCs w:val="18"/>
    </w:rPr>
  </w:style>
  <w:style w:type="paragraph" w:customStyle="1" w:styleId="Boxsubtitle">
    <w:name w:val="Box subtitle"/>
    <w:basedOn w:val="Boxtitle"/>
    <w:qFormat/>
    <w:rsid w:val="00CD2A8C"/>
    <w:pPr>
      <w:spacing w:before="0"/>
    </w:pPr>
    <w:rPr>
      <w:b w:val="0"/>
    </w:rPr>
  </w:style>
  <w:style w:type="paragraph" w:styleId="TOC4">
    <w:name w:val="toc 4"/>
    <w:basedOn w:val="Normal"/>
    <w:next w:val="Normal"/>
    <w:autoRedefine/>
    <w:uiPriority w:val="39"/>
    <w:unhideWhenUsed/>
    <w:rsid w:val="005417F5"/>
    <w:pPr>
      <w:ind w:left="600"/>
    </w:pPr>
  </w:style>
  <w:style w:type="paragraph" w:styleId="TOC5">
    <w:name w:val="toc 5"/>
    <w:basedOn w:val="Normal"/>
    <w:next w:val="Normal"/>
    <w:autoRedefine/>
    <w:uiPriority w:val="39"/>
    <w:unhideWhenUsed/>
    <w:rsid w:val="005417F5"/>
    <w:pPr>
      <w:ind w:left="800"/>
    </w:pPr>
  </w:style>
  <w:style w:type="paragraph" w:styleId="TOC6">
    <w:name w:val="toc 6"/>
    <w:basedOn w:val="Normal"/>
    <w:next w:val="Normal"/>
    <w:autoRedefine/>
    <w:uiPriority w:val="39"/>
    <w:unhideWhenUsed/>
    <w:rsid w:val="005417F5"/>
    <w:pPr>
      <w:ind w:left="1000"/>
    </w:pPr>
  </w:style>
  <w:style w:type="paragraph" w:styleId="TOC7">
    <w:name w:val="toc 7"/>
    <w:basedOn w:val="Normal"/>
    <w:next w:val="Normal"/>
    <w:autoRedefine/>
    <w:uiPriority w:val="39"/>
    <w:unhideWhenUsed/>
    <w:rsid w:val="005417F5"/>
    <w:pPr>
      <w:ind w:left="1200"/>
    </w:pPr>
  </w:style>
  <w:style w:type="paragraph" w:styleId="TOC8">
    <w:name w:val="toc 8"/>
    <w:basedOn w:val="Normal"/>
    <w:next w:val="Normal"/>
    <w:autoRedefine/>
    <w:uiPriority w:val="39"/>
    <w:unhideWhenUsed/>
    <w:rsid w:val="005417F5"/>
    <w:pPr>
      <w:ind w:left="1400"/>
    </w:pPr>
  </w:style>
  <w:style w:type="paragraph" w:styleId="TOC9">
    <w:name w:val="toc 9"/>
    <w:basedOn w:val="Normal"/>
    <w:next w:val="Normal"/>
    <w:autoRedefine/>
    <w:uiPriority w:val="39"/>
    <w:unhideWhenUsed/>
    <w:rsid w:val="005417F5"/>
    <w:pPr>
      <w:ind w:left="1600"/>
    </w:pPr>
  </w:style>
  <w:style w:type="paragraph" w:styleId="NormalWeb">
    <w:name w:val="Normal (Web)"/>
    <w:basedOn w:val="Normal"/>
    <w:uiPriority w:val="99"/>
    <w:unhideWhenUsed/>
    <w:rsid w:val="0028521F"/>
    <w:pPr>
      <w:spacing w:before="100" w:beforeAutospacing="1" w:after="100" w:afterAutospacing="1" w:line="240" w:lineRule="auto"/>
    </w:pPr>
    <w:rPr>
      <w:rFonts w:ascii="Times" w:hAnsi="Times" w:cs="Times New Roman"/>
      <w:color w:val="auto"/>
      <w:szCs w:val="20"/>
    </w:rPr>
  </w:style>
  <w:style w:type="paragraph" w:customStyle="1" w:styleId="Heading1subtitle">
    <w:name w:val="Heading 1 (subtitle)"/>
    <w:basedOn w:val="Heading1withsubtitle"/>
    <w:link w:val="Heading1subtitleChar"/>
    <w:qFormat/>
    <w:rsid w:val="0090479C"/>
    <w:pPr>
      <w:pageBreakBefore w:val="0"/>
      <w:spacing w:after="1200" w:line="510" w:lineRule="exact"/>
    </w:pPr>
    <w:rPr>
      <w:b w:val="0"/>
      <w:sz w:val="40"/>
    </w:rPr>
  </w:style>
  <w:style w:type="character" w:customStyle="1" w:styleId="Heading1subtitleChar">
    <w:name w:val="Heading 1 (subtitle) Char"/>
    <w:basedOn w:val="Heading1withsubtitleChar"/>
    <w:link w:val="Heading1subtitle"/>
    <w:rsid w:val="0090479C"/>
    <w:rPr>
      <w:rFonts w:asciiTheme="majorHAnsi" w:eastAsiaTheme="majorEastAsia" w:hAnsiTheme="majorHAnsi" w:cstheme="majorBidi"/>
      <w:b w:val="0"/>
      <w:color w:val="C3105A" w:themeColor="text2"/>
      <w:sz w:val="40"/>
      <w:szCs w:val="32"/>
    </w:rPr>
  </w:style>
  <w:style w:type="paragraph" w:customStyle="1" w:styleId="Heading1withsubhead">
    <w:name w:val="Heading 1 (with subhead)"/>
    <w:basedOn w:val="Heading1"/>
    <w:next w:val="Heading1Subhead"/>
    <w:link w:val="Heading1withsubheadChar"/>
    <w:autoRedefine/>
    <w:rsid w:val="006275CA"/>
    <w:pPr>
      <w:pageBreakBefore w:val="0"/>
      <w:spacing w:after="200"/>
    </w:pPr>
    <w:rPr>
      <w:bCs w:val="0"/>
    </w:rPr>
  </w:style>
  <w:style w:type="character" w:customStyle="1" w:styleId="Heading1withsubheadChar">
    <w:name w:val="Heading 1 (with subhead) Char"/>
    <w:basedOn w:val="DefaultParagraphFont"/>
    <w:link w:val="Heading1withsubhead"/>
    <w:rsid w:val="006275CA"/>
    <w:rPr>
      <w:rFonts w:asciiTheme="majorHAnsi" w:eastAsiaTheme="majorEastAsia" w:hAnsiTheme="majorHAnsi" w:cstheme="majorBidi"/>
      <w:b/>
      <w:color w:val="C3105A" w:themeColor="text2"/>
      <w:sz w:val="60"/>
      <w:szCs w:val="32"/>
    </w:rPr>
  </w:style>
  <w:style w:type="paragraph" w:customStyle="1" w:styleId="Heading1Subhead">
    <w:name w:val="Heading 1 (Subhead)"/>
    <w:next w:val="Normal"/>
    <w:autoRedefine/>
    <w:qFormat/>
    <w:rsid w:val="006275CA"/>
    <w:pPr>
      <w:spacing w:after="1200" w:line="510" w:lineRule="exact"/>
    </w:pPr>
    <w:rPr>
      <w:rFonts w:asciiTheme="majorHAnsi" w:eastAsiaTheme="majorEastAsia" w:hAnsiTheme="majorHAnsi" w:cstheme="majorBidi"/>
      <w:bCs/>
      <w:color w:val="C3105A" w:themeColor="text2"/>
      <w:sz w:val="40"/>
      <w:szCs w:val="26"/>
    </w:rPr>
  </w:style>
  <w:style w:type="character" w:customStyle="1" w:styleId="FigureTitleChar">
    <w:name w:val="Figure Title Char"/>
    <w:basedOn w:val="DefaultParagraphFont"/>
    <w:link w:val="FigureTitle"/>
    <w:rsid w:val="00AD62A4"/>
    <w:rPr>
      <w:b/>
      <w:color w:val="C3105A" w:themeColor="text2"/>
      <w:sz w:val="20"/>
      <w:szCs w:val="20"/>
    </w:rPr>
  </w:style>
  <w:style w:type="character" w:styleId="UnresolvedMention">
    <w:name w:val="Unresolved Mention"/>
    <w:basedOn w:val="DefaultParagraphFont"/>
    <w:uiPriority w:val="99"/>
    <w:semiHidden/>
    <w:unhideWhenUsed/>
    <w:rsid w:val="00AA0CDF"/>
    <w:rPr>
      <w:color w:val="605E5C"/>
      <w:shd w:val="clear" w:color="auto" w:fill="E1DFDD"/>
    </w:rPr>
  </w:style>
  <w:style w:type="character" w:styleId="CommentReference">
    <w:name w:val="annotation reference"/>
    <w:basedOn w:val="DefaultParagraphFont"/>
    <w:uiPriority w:val="99"/>
    <w:semiHidden/>
    <w:unhideWhenUsed/>
    <w:rsid w:val="00A506CF"/>
    <w:rPr>
      <w:sz w:val="16"/>
      <w:szCs w:val="16"/>
    </w:rPr>
  </w:style>
  <w:style w:type="paragraph" w:styleId="CommentText">
    <w:name w:val="annotation text"/>
    <w:basedOn w:val="Normal"/>
    <w:link w:val="CommentTextChar"/>
    <w:uiPriority w:val="99"/>
    <w:unhideWhenUsed/>
    <w:rsid w:val="00A506CF"/>
    <w:pPr>
      <w:spacing w:line="240" w:lineRule="auto"/>
    </w:pPr>
    <w:rPr>
      <w:szCs w:val="20"/>
    </w:rPr>
  </w:style>
  <w:style w:type="character" w:customStyle="1" w:styleId="CommentTextChar">
    <w:name w:val="Comment Text Char"/>
    <w:basedOn w:val="DefaultParagraphFont"/>
    <w:link w:val="CommentText"/>
    <w:uiPriority w:val="99"/>
    <w:rsid w:val="00A506CF"/>
    <w:rPr>
      <w:color w:val="453F43" w:themeColor="background2"/>
      <w:sz w:val="20"/>
      <w:szCs w:val="20"/>
    </w:rPr>
  </w:style>
  <w:style w:type="paragraph" w:styleId="CommentSubject">
    <w:name w:val="annotation subject"/>
    <w:basedOn w:val="CommentText"/>
    <w:next w:val="CommentText"/>
    <w:link w:val="CommentSubjectChar"/>
    <w:uiPriority w:val="99"/>
    <w:semiHidden/>
    <w:unhideWhenUsed/>
    <w:rsid w:val="00A506CF"/>
    <w:rPr>
      <w:b/>
      <w:bCs/>
    </w:rPr>
  </w:style>
  <w:style w:type="character" w:customStyle="1" w:styleId="CommentSubjectChar">
    <w:name w:val="Comment Subject Char"/>
    <w:basedOn w:val="CommentTextChar"/>
    <w:link w:val="CommentSubject"/>
    <w:uiPriority w:val="99"/>
    <w:semiHidden/>
    <w:rsid w:val="00A506CF"/>
    <w:rPr>
      <w:b/>
      <w:bCs/>
      <w:color w:val="453F43" w:themeColor="background2"/>
      <w:sz w:val="20"/>
      <w:szCs w:val="20"/>
    </w:rPr>
  </w:style>
  <w:style w:type="paragraph" w:styleId="Revision">
    <w:name w:val="Revision"/>
    <w:hidden/>
    <w:uiPriority w:val="99"/>
    <w:semiHidden/>
    <w:rsid w:val="00E45363"/>
    <w:rPr>
      <w:color w:val="453F43" w:themeColor="background2"/>
      <w:sz w:val="20"/>
    </w:rPr>
  </w:style>
  <w:style w:type="character" w:styleId="FollowedHyperlink">
    <w:name w:val="FollowedHyperlink"/>
    <w:basedOn w:val="DefaultParagraphFont"/>
    <w:uiPriority w:val="99"/>
    <w:semiHidden/>
    <w:unhideWhenUsed/>
    <w:rsid w:val="00F67DB6"/>
    <w:rPr>
      <w:color w:val="6B656A" w:themeColor="followedHyperlink"/>
      <w:u w:val="single"/>
    </w:rPr>
  </w:style>
  <w:style w:type="table" w:styleId="GridTable4-Accent1">
    <w:name w:val="Grid Table 4 Accent 1"/>
    <w:basedOn w:val="TableNormal"/>
    <w:uiPriority w:val="49"/>
    <w:rsid w:val="00E24885"/>
    <w:tblPr>
      <w:tblStyleRowBandSize w:val="1"/>
      <w:tblStyleColBandSize w:val="1"/>
      <w:tblBorders>
        <w:top w:val="single" w:sz="4" w:space="0" w:color="F15997" w:themeColor="accent1" w:themeTint="99"/>
        <w:left w:val="single" w:sz="4" w:space="0" w:color="F15997" w:themeColor="accent1" w:themeTint="99"/>
        <w:bottom w:val="single" w:sz="4" w:space="0" w:color="F15997" w:themeColor="accent1" w:themeTint="99"/>
        <w:right w:val="single" w:sz="4" w:space="0" w:color="F15997" w:themeColor="accent1" w:themeTint="99"/>
        <w:insideH w:val="single" w:sz="4" w:space="0" w:color="F15997" w:themeColor="accent1" w:themeTint="99"/>
        <w:insideV w:val="single" w:sz="4" w:space="0" w:color="F15997" w:themeColor="accent1" w:themeTint="99"/>
      </w:tblBorders>
    </w:tblPr>
    <w:tblStylePr w:type="firstRow">
      <w:rPr>
        <w:b/>
        <w:bCs/>
        <w:color w:val="FFFFFF" w:themeColor="background1"/>
      </w:rPr>
      <w:tblPr/>
      <w:tcPr>
        <w:tcBorders>
          <w:top w:val="single" w:sz="4" w:space="0" w:color="C3105A" w:themeColor="accent1"/>
          <w:left w:val="single" w:sz="4" w:space="0" w:color="C3105A" w:themeColor="accent1"/>
          <w:bottom w:val="single" w:sz="4" w:space="0" w:color="C3105A" w:themeColor="accent1"/>
          <w:right w:val="single" w:sz="4" w:space="0" w:color="C3105A" w:themeColor="accent1"/>
          <w:insideH w:val="nil"/>
          <w:insideV w:val="nil"/>
        </w:tcBorders>
        <w:shd w:val="clear" w:color="auto" w:fill="C3105A" w:themeFill="accent1"/>
      </w:tcPr>
    </w:tblStylePr>
    <w:tblStylePr w:type="lastRow">
      <w:rPr>
        <w:b/>
        <w:bCs/>
      </w:rPr>
      <w:tblPr/>
      <w:tcPr>
        <w:tcBorders>
          <w:top w:val="double" w:sz="4" w:space="0" w:color="C3105A" w:themeColor="accent1"/>
        </w:tcBorders>
      </w:tcPr>
    </w:tblStylePr>
    <w:tblStylePr w:type="firstCol">
      <w:rPr>
        <w:b/>
        <w:bCs/>
      </w:rPr>
    </w:tblStylePr>
    <w:tblStylePr w:type="lastCol">
      <w:rPr>
        <w:b/>
        <w:bCs/>
      </w:rPr>
    </w:tblStylePr>
    <w:tblStylePr w:type="band1Vert">
      <w:tblPr/>
      <w:tcPr>
        <w:shd w:val="clear" w:color="auto" w:fill="FAC7DC" w:themeFill="accent1" w:themeFillTint="33"/>
      </w:tcPr>
    </w:tblStylePr>
    <w:tblStylePr w:type="band1Horz">
      <w:tblPr/>
      <w:tcPr>
        <w:shd w:val="clear" w:color="auto" w:fill="FAC7DC" w:themeFill="accent1" w:themeFillTint="33"/>
      </w:tcPr>
    </w:tblStylePr>
  </w:style>
  <w:style w:type="character" w:customStyle="1" w:styleId="fontstyle01">
    <w:name w:val="fontstyle01"/>
    <w:basedOn w:val="DefaultParagraphFont"/>
    <w:rsid w:val="001C5DA9"/>
    <w:rPr>
      <w:rFonts w:ascii="MrsEavesXLSerifNarOT-Reg" w:hAnsi="MrsEavesXLSerifNarOT-Reg" w:hint="default"/>
      <w:b w:val="0"/>
      <w:bCs w:val="0"/>
      <w:i w:val="0"/>
      <w:iCs w:val="0"/>
      <w:color w:val="000000"/>
      <w:sz w:val="24"/>
      <w:szCs w:val="24"/>
    </w:rPr>
  </w:style>
  <w:style w:type="paragraph" w:styleId="FootnoteText">
    <w:name w:val="footnote text"/>
    <w:basedOn w:val="Normal"/>
    <w:link w:val="FootnoteTextChar"/>
    <w:uiPriority w:val="99"/>
    <w:semiHidden/>
    <w:unhideWhenUsed/>
    <w:rsid w:val="00E641F6"/>
    <w:pPr>
      <w:spacing w:before="0" w:line="240" w:lineRule="auto"/>
    </w:pPr>
    <w:rPr>
      <w:szCs w:val="20"/>
    </w:rPr>
  </w:style>
  <w:style w:type="character" w:customStyle="1" w:styleId="FootnoteTextChar">
    <w:name w:val="Footnote Text Char"/>
    <w:basedOn w:val="DefaultParagraphFont"/>
    <w:link w:val="FootnoteText"/>
    <w:uiPriority w:val="99"/>
    <w:semiHidden/>
    <w:rsid w:val="00E641F6"/>
    <w:rPr>
      <w:color w:val="453F43" w:themeColor="background2"/>
      <w:sz w:val="20"/>
      <w:szCs w:val="20"/>
    </w:rPr>
  </w:style>
  <w:style w:type="character" w:styleId="FootnoteReference">
    <w:name w:val="footnote reference"/>
    <w:basedOn w:val="DefaultParagraphFont"/>
    <w:uiPriority w:val="99"/>
    <w:semiHidden/>
    <w:unhideWhenUsed/>
    <w:rsid w:val="00E641F6"/>
    <w:rPr>
      <w:vertAlign w:val="superscript"/>
    </w:rPr>
  </w:style>
  <w:style w:type="character" w:customStyle="1" w:styleId="cf01">
    <w:name w:val="cf01"/>
    <w:basedOn w:val="DefaultParagraphFont"/>
    <w:rsid w:val="00B65C9D"/>
    <w:rPr>
      <w:rFonts w:ascii="Segoe UI" w:hAnsi="Segoe UI" w:cs="Segoe UI" w:hint="default"/>
      <w:color w:val="453F43"/>
      <w:sz w:val="18"/>
      <w:szCs w:val="18"/>
    </w:rPr>
  </w:style>
  <w:style w:type="paragraph" w:customStyle="1" w:styleId="pf0">
    <w:name w:val="pf0"/>
    <w:basedOn w:val="Normal"/>
    <w:rsid w:val="009B0079"/>
    <w:pPr>
      <w:spacing w:before="100" w:beforeAutospacing="1" w:after="100" w:afterAutospacing="1" w:line="240" w:lineRule="auto"/>
    </w:pPr>
    <w:rPr>
      <w:rFonts w:ascii="Times New Roman" w:eastAsia="Times New Roman" w:hAnsi="Times New Roman" w:cs="Times New Roman"/>
      <w:color w:val="auto"/>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7608">
      <w:bodyDiv w:val="1"/>
      <w:marLeft w:val="0"/>
      <w:marRight w:val="0"/>
      <w:marTop w:val="0"/>
      <w:marBottom w:val="0"/>
      <w:divBdr>
        <w:top w:val="none" w:sz="0" w:space="0" w:color="auto"/>
        <w:left w:val="none" w:sz="0" w:space="0" w:color="auto"/>
        <w:bottom w:val="none" w:sz="0" w:space="0" w:color="auto"/>
        <w:right w:val="none" w:sz="0" w:space="0" w:color="auto"/>
      </w:divBdr>
    </w:div>
    <w:div w:id="139734764">
      <w:bodyDiv w:val="1"/>
      <w:marLeft w:val="0"/>
      <w:marRight w:val="0"/>
      <w:marTop w:val="0"/>
      <w:marBottom w:val="0"/>
      <w:divBdr>
        <w:top w:val="none" w:sz="0" w:space="0" w:color="auto"/>
        <w:left w:val="none" w:sz="0" w:space="0" w:color="auto"/>
        <w:bottom w:val="none" w:sz="0" w:space="0" w:color="auto"/>
        <w:right w:val="none" w:sz="0" w:space="0" w:color="auto"/>
      </w:divBdr>
    </w:div>
    <w:div w:id="167135624">
      <w:bodyDiv w:val="1"/>
      <w:marLeft w:val="0"/>
      <w:marRight w:val="0"/>
      <w:marTop w:val="0"/>
      <w:marBottom w:val="0"/>
      <w:divBdr>
        <w:top w:val="none" w:sz="0" w:space="0" w:color="auto"/>
        <w:left w:val="none" w:sz="0" w:space="0" w:color="auto"/>
        <w:bottom w:val="none" w:sz="0" w:space="0" w:color="auto"/>
        <w:right w:val="none" w:sz="0" w:space="0" w:color="auto"/>
      </w:divBdr>
    </w:div>
    <w:div w:id="197279383">
      <w:bodyDiv w:val="1"/>
      <w:marLeft w:val="0"/>
      <w:marRight w:val="0"/>
      <w:marTop w:val="0"/>
      <w:marBottom w:val="0"/>
      <w:divBdr>
        <w:top w:val="none" w:sz="0" w:space="0" w:color="auto"/>
        <w:left w:val="none" w:sz="0" w:space="0" w:color="auto"/>
        <w:bottom w:val="none" w:sz="0" w:space="0" w:color="auto"/>
        <w:right w:val="none" w:sz="0" w:space="0" w:color="auto"/>
      </w:divBdr>
    </w:div>
    <w:div w:id="484586577">
      <w:bodyDiv w:val="1"/>
      <w:marLeft w:val="0"/>
      <w:marRight w:val="0"/>
      <w:marTop w:val="0"/>
      <w:marBottom w:val="0"/>
      <w:divBdr>
        <w:top w:val="none" w:sz="0" w:space="0" w:color="auto"/>
        <w:left w:val="none" w:sz="0" w:space="0" w:color="auto"/>
        <w:bottom w:val="none" w:sz="0" w:space="0" w:color="auto"/>
        <w:right w:val="none" w:sz="0" w:space="0" w:color="auto"/>
      </w:divBdr>
    </w:div>
    <w:div w:id="761529680">
      <w:bodyDiv w:val="1"/>
      <w:marLeft w:val="0"/>
      <w:marRight w:val="0"/>
      <w:marTop w:val="0"/>
      <w:marBottom w:val="0"/>
      <w:divBdr>
        <w:top w:val="none" w:sz="0" w:space="0" w:color="auto"/>
        <w:left w:val="none" w:sz="0" w:space="0" w:color="auto"/>
        <w:bottom w:val="none" w:sz="0" w:space="0" w:color="auto"/>
        <w:right w:val="none" w:sz="0" w:space="0" w:color="auto"/>
      </w:divBdr>
    </w:div>
    <w:div w:id="763957673">
      <w:bodyDiv w:val="1"/>
      <w:marLeft w:val="0"/>
      <w:marRight w:val="0"/>
      <w:marTop w:val="0"/>
      <w:marBottom w:val="0"/>
      <w:divBdr>
        <w:top w:val="none" w:sz="0" w:space="0" w:color="auto"/>
        <w:left w:val="none" w:sz="0" w:space="0" w:color="auto"/>
        <w:bottom w:val="none" w:sz="0" w:space="0" w:color="auto"/>
        <w:right w:val="none" w:sz="0" w:space="0" w:color="auto"/>
      </w:divBdr>
    </w:div>
    <w:div w:id="863715029">
      <w:bodyDiv w:val="1"/>
      <w:marLeft w:val="0"/>
      <w:marRight w:val="0"/>
      <w:marTop w:val="0"/>
      <w:marBottom w:val="0"/>
      <w:divBdr>
        <w:top w:val="none" w:sz="0" w:space="0" w:color="auto"/>
        <w:left w:val="none" w:sz="0" w:space="0" w:color="auto"/>
        <w:bottom w:val="none" w:sz="0" w:space="0" w:color="auto"/>
        <w:right w:val="none" w:sz="0" w:space="0" w:color="auto"/>
      </w:divBdr>
    </w:div>
    <w:div w:id="902181076">
      <w:bodyDiv w:val="1"/>
      <w:marLeft w:val="0"/>
      <w:marRight w:val="0"/>
      <w:marTop w:val="0"/>
      <w:marBottom w:val="0"/>
      <w:divBdr>
        <w:top w:val="none" w:sz="0" w:space="0" w:color="auto"/>
        <w:left w:val="none" w:sz="0" w:space="0" w:color="auto"/>
        <w:bottom w:val="none" w:sz="0" w:space="0" w:color="auto"/>
        <w:right w:val="none" w:sz="0" w:space="0" w:color="auto"/>
      </w:divBdr>
    </w:div>
    <w:div w:id="953439880">
      <w:bodyDiv w:val="1"/>
      <w:marLeft w:val="0"/>
      <w:marRight w:val="0"/>
      <w:marTop w:val="0"/>
      <w:marBottom w:val="0"/>
      <w:divBdr>
        <w:top w:val="none" w:sz="0" w:space="0" w:color="auto"/>
        <w:left w:val="none" w:sz="0" w:space="0" w:color="auto"/>
        <w:bottom w:val="none" w:sz="0" w:space="0" w:color="auto"/>
        <w:right w:val="none" w:sz="0" w:space="0" w:color="auto"/>
      </w:divBdr>
    </w:div>
    <w:div w:id="965817827">
      <w:bodyDiv w:val="1"/>
      <w:marLeft w:val="0"/>
      <w:marRight w:val="0"/>
      <w:marTop w:val="0"/>
      <w:marBottom w:val="0"/>
      <w:divBdr>
        <w:top w:val="none" w:sz="0" w:space="0" w:color="auto"/>
        <w:left w:val="none" w:sz="0" w:space="0" w:color="auto"/>
        <w:bottom w:val="none" w:sz="0" w:space="0" w:color="auto"/>
        <w:right w:val="none" w:sz="0" w:space="0" w:color="auto"/>
      </w:divBdr>
    </w:div>
    <w:div w:id="1004822086">
      <w:bodyDiv w:val="1"/>
      <w:marLeft w:val="0"/>
      <w:marRight w:val="0"/>
      <w:marTop w:val="0"/>
      <w:marBottom w:val="0"/>
      <w:divBdr>
        <w:top w:val="none" w:sz="0" w:space="0" w:color="auto"/>
        <w:left w:val="none" w:sz="0" w:space="0" w:color="auto"/>
        <w:bottom w:val="none" w:sz="0" w:space="0" w:color="auto"/>
        <w:right w:val="none" w:sz="0" w:space="0" w:color="auto"/>
      </w:divBdr>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
    <w:div w:id="1378580039">
      <w:bodyDiv w:val="1"/>
      <w:marLeft w:val="0"/>
      <w:marRight w:val="0"/>
      <w:marTop w:val="0"/>
      <w:marBottom w:val="0"/>
      <w:divBdr>
        <w:top w:val="none" w:sz="0" w:space="0" w:color="auto"/>
        <w:left w:val="none" w:sz="0" w:space="0" w:color="auto"/>
        <w:bottom w:val="none" w:sz="0" w:space="0" w:color="auto"/>
        <w:right w:val="none" w:sz="0" w:space="0" w:color="auto"/>
      </w:divBdr>
    </w:div>
    <w:div w:id="1539855349">
      <w:bodyDiv w:val="1"/>
      <w:marLeft w:val="0"/>
      <w:marRight w:val="0"/>
      <w:marTop w:val="0"/>
      <w:marBottom w:val="0"/>
      <w:divBdr>
        <w:top w:val="none" w:sz="0" w:space="0" w:color="auto"/>
        <w:left w:val="none" w:sz="0" w:space="0" w:color="auto"/>
        <w:bottom w:val="none" w:sz="0" w:space="0" w:color="auto"/>
        <w:right w:val="none" w:sz="0" w:space="0" w:color="auto"/>
      </w:divBdr>
    </w:div>
    <w:div w:id="1544560608">
      <w:bodyDiv w:val="1"/>
      <w:marLeft w:val="0"/>
      <w:marRight w:val="0"/>
      <w:marTop w:val="0"/>
      <w:marBottom w:val="0"/>
      <w:divBdr>
        <w:top w:val="none" w:sz="0" w:space="0" w:color="auto"/>
        <w:left w:val="none" w:sz="0" w:space="0" w:color="auto"/>
        <w:bottom w:val="none" w:sz="0" w:space="0" w:color="auto"/>
        <w:right w:val="none" w:sz="0" w:space="0" w:color="auto"/>
      </w:divBdr>
    </w:div>
    <w:div w:id="1576280267">
      <w:bodyDiv w:val="1"/>
      <w:marLeft w:val="0"/>
      <w:marRight w:val="0"/>
      <w:marTop w:val="0"/>
      <w:marBottom w:val="0"/>
      <w:divBdr>
        <w:top w:val="none" w:sz="0" w:space="0" w:color="auto"/>
        <w:left w:val="none" w:sz="0" w:space="0" w:color="auto"/>
        <w:bottom w:val="none" w:sz="0" w:space="0" w:color="auto"/>
        <w:right w:val="none" w:sz="0" w:space="0" w:color="auto"/>
      </w:divBdr>
    </w:div>
    <w:div w:id="1644847091">
      <w:bodyDiv w:val="1"/>
      <w:marLeft w:val="0"/>
      <w:marRight w:val="0"/>
      <w:marTop w:val="0"/>
      <w:marBottom w:val="0"/>
      <w:divBdr>
        <w:top w:val="none" w:sz="0" w:space="0" w:color="auto"/>
        <w:left w:val="none" w:sz="0" w:space="0" w:color="auto"/>
        <w:bottom w:val="none" w:sz="0" w:space="0" w:color="auto"/>
        <w:right w:val="none" w:sz="0" w:space="0" w:color="auto"/>
      </w:divBdr>
    </w:div>
    <w:div w:id="1900171449">
      <w:bodyDiv w:val="1"/>
      <w:marLeft w:val="0"/>
      <w:marRight w:val="0"/>
      <w:marTop w:val="0"/>
      <w:marBottom w:val="0"/>
      <w:divBdr>
        <w:top w:val="none" w:sz="0" w:space="0" w:color="auto"/>
        <w:left w:val="none" w:sz="0" w:space="0" w:color="auto"/>
        <w:bottom w:val="none" w:sz="0" w:space="0" w:color="auto"/>
        <w:right w:val="none" w:sz="0" w:space="0" w:color="auto"/>
      </w:divBdr>
    </w:div>
    <w:div w:id="1997880092">
      <w:bodyDiv w:val="1"/>
      <w:marLeft w:val="0"/>
      <w:marRight w:val="0"/>
      <w:marTop w:val="0"/>
      <w:marBottom w:val="0"/>
      <w:divBdr>
        <w:top w:val="none" w:sz="0" w:space="0" w:color="auto"/>
        <w:left w:val="none" w:sz="0" w:space="0" w:color="auto"/>
        <w:bottom w:val="none" w:sz="0" w:space="0" w:color="auto"/>
        <w:right w:val="none" w:sz="0" w:space="0" w:color="auto"/>
      </w:divBdr>
      <w:divsChild>
        <w:div w:id="947129067">
          <w:marLeft w:val="0"/>
          <w:marRight w:val="0"/>
          <w:marTop w:val="0"/>
          <w:marBottom w:val="0"/>
          <w:divBdr>
            <w:top w:val="single" w:sz="8" w:space="10" w:color="C3105A" w:themeColor="text2"/>
            <w:left w:val="none" w:sz="0" w:space="0" w:color="auto"/>
            <w:bottom w:val="none" w:sz="0" w:space="0" w:color="auto"/>
            <w:right w:val="none" w:sz="0" w:space="0" w:color="auto"/>
          </w:divBdr>
        </w:div>
      </w:divsChild>
    </w:div>
    <w:div w:id="202867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8.xml"/><Relationship Id="rId26" Type="http://schemas.openxmlformats.org/officeDocument/2006/relationships/hyperlink" Target="mailto:moses.owori@devinit.org" TargetMode="External"/><Relationship Id="rId3" Type="http://schemas.openxmlformats.org/officeDocument/2006/relationships/styles" Target="styles.xml"/><Relationship Id="rId21" Type="http://schemas.openxmlformats.org/officeDocument/2006/relationships/hyperlink" Target="https://www.devinit.org/resources/aid-uganda-covid-1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devinit.org/resources/domestic-financial-flows-uganda-covid-19/" TargetMode="External"/><Relationship Id="rId29" Type="http://schemas.openxmlformats.org/officeDocument/2006/relationships/hyperlink" Target="mailto:moses.owori@devini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1.xm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28" Type="http://schemas.openxmlformats.org/officeDocument/2006/relationships/hyperlink" Target="mailto:info@devinit.org" TargetMode="Externa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hyperlink" Target="mailto:info@devinit.org" TargetMode="External"/><Relationship Id="rId4" Type="http://schemas.openxmlformats.org/officeDocument/2006/relationships/settings" Target="settings.xml"/><Relationship Id="rId9" Type="http://schemas.openxmlformats.org/officeDocument/2006/relationships/hyperlink" Target="https://iatistandard.org/en/" TargetMode="External"/><Relationship Id="rId14" Type="http://schemas.openxmlformats.org/officeDocument/2006/relationships/hyperlink" Target="https://www.devinit.org/f398eb" TargetMode="External"/><Relationship Id="rId22" Type="http://schemas.openxmlformats.org/officeDocument/2006/relationships/footer" Target="footer1.xml"/><Relationship Id="rId27" Type="http://schemas.openxmlformats.org/officeDocument/2006/relationships/hyperlink" Target="http://www.devinit.org" TargetMode="External"/><Relationship Id="rId30" Type="http://schemas.openxmlformats.org/officeDocument/2006/relationships/hyperlink" Target="http://www.devinit.org" TargetMode="External"/><Relationship Id="rId8" Type="http://schemas.openxmlformats.org/officeDocument/2006/relationships/hyperlink" Target="https://devinit.org/resources/aid-uganda-covid-19/"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www.cgdev.org/publication/world-bank-budget-support-time-covid-crisis-finance-strings-attached" TargetMode="External"/><Relationship Id="rId18" Type="http://schemas.openxmlformats.org/officeDocument/2006/relationships/hyperlink" Target="https://projects.worldbank.org/en/projects-operations/projects-list?os=0&amp;qterm=P117876" TargetMode="External"/><Relationship Id="rId26" Type="http://schemas.openxmlformats.org/officeDocument/2006/relationships/hyperlink" Target="https://projectsportal.afdb.org/dataportal/VProject/show/P-UG-E00-012" TargetMode="External"/><Relationship Id="rId39" Type="http://schemas.openxmlformats.org/officeDocument/2006/relationships/hyperlink" Target="https://documents1.worldbank.org/curated/en/687621596233318202/pdf/Uganda-Joint-World-Bank-IMF-Debt-Sustainability-Analysis.pdf" TargetMode="External"/><Relationship Id="rId21" Type="http://schemas.openxmlformats.org/officeDocument/2006/relationships/hyperlink" Target="https://www.imf.org/en/Countries/UGA/uganda-qandas" TargetMode="External"/><Relationship Id="rId34" Type="http://schemas.openxmlformats.org/officeDocument/2006/relationships/hyperlink" Target="https://www.independent.co.ug/bank-of-uganda-warns-finance-ministry-over-high-debt-levels/" TargetMode="External"/><Relationship Id="rId42" Type="http://schemas.openxmlformats.org/officeDocument/2006/relationships/hyperlink" Target="https://www.independent.co.ug/ugandas-domestic-debt-breaks-ceiling-csos-urge-imf-to-release-reserves/" TargetMode="External"/><Relationship Id="rId47" Type="http://schemas.openxmlformats.org/officeDocument/2006/relationships/hyperlink" Target="https://www.devinit.org/resources/domestic-financial-flows-uganda-covid-19/" TargetMode="External"/><Relationship Id="rId7" Type="http://schemas.openxmlformats.org/officeDocument/2006/relationships/hyperlink" Target="https://www.imf.org/en/Countries/UGA/uganda-qandas" TargetMode="External"/><Relationship Id="rId2" Type="http://schemas.openxmlformats.org/officeDocument/2006/relationships/hyperlink" Target="https://documents1.worldbank.org/curated/en/687621596233318202/pdf/Uganda-Joint-World-Bank-IMF-Debt-Sustainability-Analysis.pdf" TargetMode="External"/><Relationship Id="rId16" Type="http://schemas.openxmlformats.org/officeDocument/2006/relationships/hyperlink" Target="https://www.devinit.org/resources/aid-uganda-covid-19/" TargetMode="External"/><Relationship Id="rId29" Type="http://schemas.openxmlformats.org/officeDocument/2006/relationships/hyperlink" Target="https://projectsportal.afdb.org/dataportal/VProject/show/P-UG-DB0-022" TargetMode="External"/><Relationship Id="rId1" Type="http://schemas.openxmlformats.org/officeDocument/2006/relationships/hyperlink" Target="https://www.devinit.org/f398eb" TargetMode="External"/><Relationship Id="rId6" Type="http://schemas.openxmlformats.org/officeDocument/2006/relationships/hyperlink" Target="https://www.imf.org/en/Countries/UGA/uganda-qandas" TargetMode="External"/><Relationship Id="rId11" Type="http://schemas.openxmlformats.org/officeDocument/2006/relationships/hyperlink" Target="https://www.imf.org/en/About/Factsheets/IMF-Lending" TargetMode="External"/><Relationship Id="rId24" Type="http://schemas.openxmlformats.org/officeDocument/2006/relationships/hyperlink" Target="https://projectsportal.afdb.org/dataportal/VProject/show/P-UG-AAZ-002" TargetMode="External"/><Relationship Id="rId32" Type="http://schemas.openxmlformats.org/officeDocument/2006/relationships/hyperlink" Target="https://www.bou.or.ug/bou/bouwebsite/RelatedPages/Publications/article-v2/State-of-Economy-Report-June-2021/" TargetMode="External"/><Relationship Id="rId37" Type="http://schemas.openxmlformats.org/officeDocument/2006/relationships/hyperlink" Target="https://chimpreports.com/csos-warn-govt-on-borrowing-as-debt-stock-hits-shs-56-5-trillion/" TargetMode="External"/><Relationship Id="rId40" Type="http://schemas.openxmlformats.org/officeDocument/2006/relationships/hyperlink" Target="https://documents.worldbank.org/en/publication/documents-reports/documentdetail/693991625855172394/uganda-joint-world-bank-imf-debt-sustainability-analysis%20" TargetMode="External"/><Relationship Id="rId45" Type="http://schemas.openxmlformats.org/officeDocument/2006/relationships/hyperlink" Target="https://www.imf.org/en/Countries/UGA/uganda-qandas" TargetMode="External"/><Relationship Id="rId5" Type="http://schemas.openxmlformats.org/officeDocument/2006/relationships/hyperlink" Target="https://finances.worldbank.org/Loans-and-Credits/Uganda-Loans-from-World-Bank/i7jh-e6ry" TargetMode="External"/><Relationship Id="rId15" Type="http://schemas.openxmlformats.org/officeDocument/2006/relationships/hyperlink" Target="https://www.cgdev.org/publication/world-bank-budget-support-time-covid-crisis-finance-strings-attached" TargetMode="External"/><Relationship Id="rId23" Type="http://schemas.openxmlformats.org/officeDocument/2006/relationships/hyperlink" Target="https://www.imf.org/en/Countries/UGA/uganda-qandas" TargetMode="External"/><Relationship Id="rId28" Type="http://schemas.openxmlformats.org/officeDocument/2006/relationships/hyperlink" Target="https://projectsportal.afdb.org/dataportal/VProject/show/P-UG-AAD-001" TargetMode="External"/><Relationship Id="rId36" Type="http://schemas.openxmlformats.org/officeDocument/2006/relationships/hyperlink" Target="https://www.independent.co.ug/bank-of-uganda-warns-finance-ministry-over-high-debt-levels/" TargetMode="External"/><Relationship Id="rId10" Type="http://schemas.openxmlformats.org/officeDocument/2006/relationships/hyperlink" Target="https://www.afdb.org/en/news-and-events/press-releases/uganda-african-development-fund-approves-316-million-loan-covid-19-response-37030" TargetMode="External"/><Relationship Id="rId19" Type="http://schemas.openxmlformats.org/officeDocument/2006/relationships/hyperlink" Target="https://projects.worldbank.org/en/projects-operations/project-detail/P155186" TargetMode="External"/><Relationship Id="rId31" Type="http://schemas.openxmlformats.org/officeDocument/2006/relationships/hyperlink" Target="https://eprcug.org/publication/fiscal-policy-and-public-debt-sustainability-in-uganda-2/" TargetMode="External"/><Relationship Id="rId44" Type="http://schemas.openxmlformats.org/officeDocument/2006/relationships/hyperlink" Target="https://finance.go.ug/sites/default/files/Publications/Medium%20Term%20Debt%20Managment%20Strategy%20for%20Fy%202021-22_Bk_Designed%20final%20copy-1.pdf" TargetMode="External"/><Relationship Id="rId4" Type="http://schemas.openxmlformats.org/officeDocument/2006/relationships/hyperlink" Target="https://www.bou.or.ug/bou/bouwebsite/MonetaryPolicy/mpreports.html" TargetMode="External"/><Relationship Id="rId9" Type="http://schemas.openxmlformats.org/officeDocument/2006/relationships/hyperlink" Target="https://www.afdb.org/en/news-and-events/press-releases/african-development-fund-ranked-among-worlds-leading-providers-development-assistance-43878" TargetMode="External"/><Relationship Id="rId14" Type="http://schemas.openxmlformats.org/officeDocument/2006/relationships/hyperlink" Target="https://mpra.ub.uni-muenchen.de/87106/" TargetMode="External"/><Relationship Id="rId22" Type="http://schemas.openxmlformats.org/officeDocument/2006/relationships/hyperlink" Target="https://www.imf.org/en/Countries/UGA/uganda-qandas" TargetMode="External"/><Relationship Id="rId27" Type="http://schemas.openxmlformats.org/officeDocument/2006/relationships/hyperlink" Target="https://projectsportal.afdb.org/dataportal/VProject/show/P-UG-IAD-001" TargetMode="External"/><Relationship Id="rId30" Type="http://schemas.openxmlformats.org/officeDocument/2006/relationships/hyperlink" Target="https://www.finance.go.ug/publication/report-public-debt-guarantees-other-financial-liabilities-and-grants-fy-201920-and%20" TargetMode="External"/><Relationship Id="rId35" Type="http://schemas.openxmlformats.org/officeDocument/2006/relationships/hyperlink" Target="https://www.reuters.com/article/uganda-debt-idUSL5N2GJ5DJ" TargetMode="External"/><Relationship Id="rId43" Type="http://schemas.openxmlformats.org/officeDocument/2006/relationships/hyperlink" Target="http://www.oag.go.ug/wp-content/uploads/2016/07/Management-of-Public-Debt.pdf" TargetMode="External"/><Relationship Id="rId48" Type="http://schemas.openxmlformats.org/officeDocument/2006/relationships/hyperlink" Target="https://www.iser-uganda.org/publications/position-papers/495-failing-to-prioritise-health-financing-in-the-middle-of-a-pandemic-an-analysis-of-uganda%E2%80%99s-health-sector-budget" TargetMode="External"/><Relationship Id="rId8" Type="http://schemas.openxmlformats.org/officeDocument/2006/relationships/hyperlink" Target="https://www.cgdev.org/publication/world-bank-budget-support-time-covid-crisis-finance-strings-attached" TargetMode="External"/><Relationship Id="rId3" Type="http://schemas.openxmlformats.org/officeDocument/2006/relationships/hyperlink" Target="https://documents.worldbank.org/en/publication/documents-reports/documentdetail/693991625855172394/uganda-joint-world-bank-imf-debt-sustainability-analysis%20" TargetMode="External"/><Relationship Id="rId12" Type="http://schemas.openxmlformats.org/officeDocument/2006/relationships/hyperlink" Target="https://www.imf.org/en/Countries/UGA/uganda-qandas" TargetMode="External"/><Relationship Id="rId17" Type="http://schemas.openxmlformats.org/officeDocument/2006/relationships/hyperlink" Target="https://projects.worldbank.org/en/projects-operations/project-detail/P173906" TargetMode="External"/><Relationship Id="rId25" Type="http://schemas.openxmlformats.org/officeDocument/2006/relationships/hyperlink" Target="https://molg.go.ug/matip/" TargetMode="External"/><Relationship Id="rId33" Type="http://schemas.openxmlformats.org/officeDocument/2006/relationships/hyperlink" Target="https://www.independent.co.ug/uganda-economy-gets-bigger-by-20/" TargetMode="External"/><Relationship Id="rId38" Type="http://schemas.openxmlformats.org/officeDocument/2006/relationships/hyperlink" Target="https://www.independent.co.ug/ugandas-domestic-debt-breaks-ceiling-csos-urge-imf-to-release-reserves/" TargetMode="External"/><Relationship Id="rId46" Type="http://schemas.openxmlformats.org/officeDocument/2006/relationships/hyperlink" Target="https://www.worldbank.org/en/country/uganda/brief/faq-uganda-development-policy-budget-support-financing-operation" TargetMode="External"/><Relationship Id="rId20" Type="http://schemas.openxmlformats.org/officeDocument/2006/relationships/hyperlink" Target="https://projects.worldbank.org/en/projects-operations/project-detail/P173906" TargetMode="External"/><Relationship Id="rId41" Type="http://schemas.openxmlformats.org/officeDocument/2006/relationships/hyperlink" Target="https://chimpreports.com/csos-warn-govt-on-borrowing-as-debt-stock-hits-shs-56-5-trillio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inac\AppData\Roaming\Microsoft\Templates\Briefing%20paper%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seso\AppData\Local\Microsoft\Windows\INetCache\Content.Outlook\ZQ3SYH5F\Copy%20of%20AfDB%20+%20WB%20Uganda%202018%20-_b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oseso\Documents\AA%20WORK%20FOLDER\2021%20work\Loans%20paper\AfDB%20+%20WB%20Uganda%202018%20-%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oseso\AppData\Local\Microsoft\Windows\INetCache\Content.Outlook\ZQ3SYH5F\Copy%20of%20AfDB%20+%20WB%20Uganda%202018%20-_b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oseso\AppData\Local\Microsoft\Windows\INetCache\Content.Outlook\ZQ3SYH5F\Copy%20of%20AfDB%20+%20WB%20Uganda%202018%20-_b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74368296637237"/>
          <c:y val="5.0561797752808987E-2"/>
          <c:w val="0.8429954419863448"/>
          <c:h val="0.81471910112359547"/>
        </c:manualLayout>
      </c:layout>
      <c:barChart>
        <c:barDir val="col"/>
        <c:grouping val="clustered"/>
        <c:varyColors val="0"/>
        <c:ser>
          <c:idx val="0"/>
          <c:order val="0"/>
          <c:tx>
            <c:strRef>
              <c:f>Charts!$A$13</c:f>
              <c:strCache>
                <c:ptCount val="1"/>
                <c:pt idx="0">
                  <c:v>Grand Total</c:v>
                </c:pt>
              </c:strCache>
            </c:strRef>
          </c:tx>
          <c:spPr>
            <a:solidFill>
              <a:schemeClr val="accent1"/>
            </a:solidFill>
            <a:ln>
              <a:noFill/>
            </a:ln>
            <a:effectLst/>
          </c:spPr>
          <c:invertIfNegative val="0"/>
          <c:dPt>
            <c:idx val="0"/>
            <c:invertIfNegative val="0"/>
            <c:bubble3D val="0"/>
            <c:spPr>
              <a:pattFill prst="pct20">
                <a:fgClr>
                  <a:schemeClr val="tx2"/>
                </a:fgClr>
                <a:bgClr>
                  <a:schemeClr val="bg1"/>
                </a:bgClr>
              </a:pattFill>
              <a:ln>
                <a:solidFill>
                  <a:schemeClr val="tx2"/>
                </a:solidFill>
              </a:ln>
              <a:effectLst/>
            </c:spPr>
            <c:extLst>
              <c:ext xmlns:c16="http://schemas.microsoft.com/office/drawing/2014/chart" uri="{C3380CC4-5D6E-409C-BE32-E72D297353CC}">
                <c16:uniqueId val="{00000000-79EA-48D4-9EE1-803CB8D0016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Charts!$B$9:$E$9</c:f>
              <c:numCache>
                <c:formatCode>General</c:formatCode>
                <c:ptCount val="4"/>
                <c:pt idx="0">
                  <c:v>2021</c:v>
                </c:pt>
                <c:pt idx="1">
                  <c:v>2020</c:v>
                </c:pt>
                <c:pt idx="2">
                  <c:v>2019</c:v>
                </c:pt>
                <c:pt idx="3">
                  <c:v>2018</c:v>
                </c:pt>
              </c:numCache>
            </c:numRef>
          </c:cat>
          <c:val>
            <c:numRef>
              <c:f>Charts!$B$13:$E$13</c:f>
              <c:numCache>
                <c:formatCode>_-* #,##0_-;\-* #,##0_-;_-* "-"??_-;_-@_-</c:formatCode>
                <c:ptCount val="4"/>
                <c:pt idx="0">
                  <c:v>399.39152799999999</c:v>
                </c:pt>
                <c:pt idx="1">
                  <c:v>1300.5256259487489</c:v>
                </c:pt>
                <c:pt idx="2">
                  <c:v>445.95548015909583</c:v>
                </c:pt>
                <c:pt idx="3">
                  <c:v>327.36260646936978</c:v>
                </c:pt>
              </c:numCache>
            </c:numRef>
          </c:val>
          <c:extLst>
            <c:ext xmlns:c16="http://schemas.microsoft.com/office/drawing/2014/chart" uri="{C3380CC4-5D6E-409C-BE32-E72D297353CC}">
              <c16:uniqueId val="{00000000-9228-48A1-96F1-9E6D82F78C8E}"/>
            </c:ext>
          </c:extLst>
        </c:ser>
        <c:dLbls>
          <c:showLegendKey val="0"/>
          <c:showVal val="0"/>
          <c:showCatName val="0"/>
          <c:showSerName val="0"/>
          <c:showPercent val="0"/>
          <c:showBubbleSize val="0"/>
        </c:dLbls>
        <c:gapWidth val="219"/>
        <c:overlap val="-27"/>
        <c:axId val="992723327"/>
        <c:axId val="992721663"/>
      </c:barChart>
      <c:catAx>
        <c:axId val="992723327"/>
        <c:scaling>
          <c:orientation val="maxMin"/>
        </c:scaling>
        <c:delete val="0"/>
        <c:axPos val="b"/>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721663"/>
        <c:crosses val="autoZero"/>
        <c:auto val="1"/>
        <c:lblAlgn val="ctr"/>
        <c:lblOffset val="100"/>
        <c:noMultiLvlLbl val="0"/>
      </c:catAx>
      <c:valAx>
        <c:axId val="992721663"/>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millions</a:t>
                </a:r>
              </a:p>
            </c:rich>
          </c:tx>
          <c:layout>
            <c:manualLayout>
              <c:xMode val="edge"/>
              <c:yMode val="edge"/>
              <c:x val="1.2608750472828143E-4"/>
              <c:y val="4.1011235955056005E-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723327"/>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29199483339075111"/>
          <c:y val="0.16692182788216189"/>
          <c:w val="0.58063792334872533"/>
          <c:h val="0.72892819504033823"/>
        </c:manualLayout>
      </c:layout>
      <c:barChart>
        <c:barDir val="bar"/>
        <c:grouping val="clustered"/>
        <c:varyColors val="0"/>
        <c:ser>
          <c:idx val="0"/>
          <c:order val="0"/>
          <c:tx>
            <c:strRef>
              <c:f>Charts!$B$9</c:f>
              <c:strCache>
                <c:ptCount val="1"/>
                <c:pt idx="0">
                  <c:v>2021</c:v>
                </c:pt>
              </c:strCache>
            </c:strRef>
          </c:tx>
          <c:spPr>
            <a:pattFill prst="pct25">
              <a:fgClr>
                <a:schemeClr val="tx2"/>
              </a:fgClr>
              <a:bgClr>
                <a:schemeClr val="bg1"/>
              </a:bgClr>
            </a:pattFill>
            <a:ln>
              <a:solidFill>
                <a:schemeClr val="tx2"/>
              </a:solidFill>
            </a:ln>
            <a:effectLst/>
          </c:spPr>
          <c:invertIfNegative val="0"/>
          <c:dLbls>
            <c:dLbl>
              <c:idx val="0"/>
              <c:tx>
                <c:rich>
                  <a:bodyPr/>
                  <a:lstStyle/>
                  <a:p>
                    <a:fld id="{1BB9D61C-69AF-4B74-9DFB-4F3D0CFF7FDF}" type="VALUE">
                      <a:rPr lang="en-US">
                        <a:solidFill>
                          <a:schemeClr val="bg1"/>
                        </a:solidFill>
                      </a:rPr>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B60-456F-BB0B-F2983F43B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Charts!$A$10:$A$12</c:f>
              <c:strCache>
                <c:ptCount val="3"/>
                <c:pt idx="0">
                  <c:v>African Development Bank</c:v>
                </c:pt>
                <c:pt idx="1">
                  <c:v>World Bank</c:v>
                </c:pt>
                <c:pt idx="2">
                  <c:v>IMF</c:v>
                </c:pt>
              </c:strCache>
            </c:strRef>
          </c:cat>
          <c:val>
            <c:numRef>
              <c:f>Charts!$B$10:$B$12</c:f>
              <c:numCache>
                <c:formatCode>_-* #,##0_-;\-* #,##0_-;_-* "-"??_-;_-@_-</c:formatCode>
                <c:ptCount val="3"/>
                <c:pt idx="0">
                  <c:v>0</c:v>
                </c:pt>
                <c:pt idx="1">
                  <c:v>141.39152799999999</c:v>
                </c:pt>
                <c:pt idx="2">
                  <c:v>258</c:v>
                </c:pt>
              </c:numCache>
            </c:numRef>
          </c:val>
          <c:extLst>
            <c:ext xmlns:c16="http://schemas.microsoft.com/office/drawing/2014/chart" uri="{C3380CC4-5D6E-409C-BE32-E72D297353CC}">
              <c16:uniqueId val="{00000000-3FFA-446B-B70B-E4AF07A88E54}"/>
            </c:ext>
          </c:extLst>
        </c:ser>
        <c:ser>
          <c:idx val="1"/>
          <c:order val="1"/>
          <c:tx>
            <c:strRef>
              <c:f>Charts!$C$9</c:f>
              <c:strCache>
                <c:ptCount val="1"/>
                <c:pt idx="0">
                  <c:v>2020</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Charts!$A$10:$A$12</c:f>
              <c:strCache>
                <c:ptCount val="3"/>
                <c:pt idx="0">
                  <c:v>African Development Bank</c:v>
                </c:pt>
                <c:pt idx="1">
                  <c:v>World Bank</c:v>
                </c:pt>
                <c:pt idx="2">
                  <c:v>IMF</c:v>
                </c:pt>
              </c:strCache>
            </c:strRef>
          </c:cat>
          <c:val>
            <c:numRef>
              <c:f>Charts!$C$10:$C$12</c:f>
              <c:numCache>
                <c:formatCode>_-* #,##0_-;\-* #,##0_-;_-* "-"??_-;_-@_-</c:formatCode>
                <c:ptCount val="3"/>
                <c:pt idx="0">
                  <c:v>101.13631494874899</c:v>
                </c:pt>
                <c:pt idx="1">
                  <c:v>707.88931099999991</c:v>
                </c:pt>
                <c:pt idx="2">
                  <c:v>491.5</c:v>
                </c:pt>
              </c:numCache>
            </c:numRef>
          </c:val>
          <c:extLst>
            <c:ext xmlns:c16="http://schemas.microsoft.com/office/drawing/2014/chart" uri="{C3380CC4-5D6E-409C-BE32-E72D297353CC}">
              <c16:uniqueId val="{00000001-3FFA-446B-B70B-E4AF07A88E54}"/>
            </c:ext>
          </c:extLst>
        </c:ser>
        <c:ser>
          <c:idx val="2"/>
          <c:order val="2"/>
          <c:tx>
            <c:strRef>
              <c:f>Charts!$D$9</c:f>
              <c:strCache>
                <c:ptCount val="1"/>
                <c:pt idx="0">
                  <c:v>2019</c:v>
                </c:pt>
              </c:strCache>
            </c:strRef>
          </c:tx>
          <c:spPr>
            <a:solidFill>
              <a:schemeClr val="accent3"/>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01-FB60-456F-BB0B-F2983F43B9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Charts!$A$10:$A$12</c:f>
              <c:strCache>
                <c:ptCount val="3"/>
                <c:pt idx="0">
                  <c:v>African Development Bank</c:v>
                </c:pt>
                <c:pt idx="1">
                  <c:v>World Bank</c:v>
                </c:pt>
                <c:pt idx="2">
                  <c:v>IMF</c:v>
                </c:pt>
              </c:strCache>
            </c:strRef>
          </c:cat>
          <c:val>
            <c:numRef>
              <c:f>Charts!$D$10:$D$12</c:f>
              <c:numCache>
                <c:formatCode>_-* #,##0_-;\-* #,##0_-;_-* "-"??_-;_-@_-</c:formatCode>
                <c:ptCount val="3"/>
                <c:pt idx="0">
                  <c:v>129.49040930909587</c:v>
                </c:pt>
                <c:pt idx="1">
                  <c:v>316.46507084999996</c:v>
                </c:pt>
                <c:pt idx="2">
                  <c:v>0</c:v>
                </c:pt>
              </c:numCache>
            </c:numRef>
          </c:val>
          <c:extLst>
            <c:ext xmlns:c16="http://schemas.microsoft.com/office/drawing/2014/chart" uri="{C3380CC4-5D6E-409C-BE32-E72D297353CC}">
              <c16:uniqueId val="{00000002-3FFA-446B-B70B-E4AF07A88E54}"/>
            </c:ext>
          </c:extLst>
        </c:ser>
        <c:ser>
          <c:idx val="3"/>
          <c:order val="3"/>
          <c:tx>
            <c:strRef>
              <c:f>Charts!$E$9</c:f>
              <c:strCache>
                <c:ptCount val="1"/>
                <c:pt idx="0">
                  <c:v>2018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Charts!$A$10:$A$12</c:f>
              <c:strCache>
                <c:ptCount val="3"/>
                <c:pt idx="0">
                  <c:v>African Development Bank</c:v>
                </c:pt>
                <c:pt idx="1">
                  <c:v>World Bank</c:v>
                </c:pt>
                <c:pt idx="2">
                  <c:v>IMF</c:v>
                </c:pt>
              </c:strCache>
            </c:strRef>
          </c:cat>
          <c:val>
            <c:numRef>
              <c:f>Charts!$E$10:$E$12</c:f>
              <c:numCache>
                <c:formatCode>_-* #,##0_-;\-* #,##0_-;_-* "-"??_-;_-@_-</c:formatCode>
                <c:ptCount val="3"/>
                <c:pt idx="0">
                  <c:v>130.50434446936987</c:v>
                </c:pt>
                <c:pt idx="1">
                  <c:v>196.85826199999988</c:v>
                </c:pt>
              </c:numCache>
            </c:numRef>
          </c:val>
          <c:extLst>
            <c:ext xmlns:c16="http://schemas.microsoft.com/office/drawing/2014/chart" uri="{C3380CC4-5D6E-409C-BE32-E72D297353CC}">
              <c16:uniqueId val="{00000003-3FFA-446B-B70B-E4AF07A88E54}"/>
            </c:ext>
          </c:extLst>
        </c:ser>
        <c:dLbls>
          <c:showLegendKey val="0"/>
          <c:showVal val="0"/>
          <c:showCatName val="0"/>
          <c:showSerName val="0"/>
          <c:showPercent val="0"/>
          <c:showBubbleSize val="0"/>
        </c:dLbls>
        <c:gapWidth val="182"/>
        <c:axId val="927793679"/>
        <c:axId val="927793263"/>
      </c:barChart>
      <c:catAx>
        <c:axId val="927793679"/>
        <c:scaling>
          <c:orientation val="minMax"/>
        </c:scaling>
        <c:delete val="0"/>
        <c:axPos val="l"/>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793263"/>
        <c:crosses val="autoZero"/>
        <c:auto val="1"/>
        <c:lblAlgn val="ctr"/>
        <c:lblOffset val="100"/>
        <c:noMultiLvlLbl val="0"/>
      </c:catAx>
      <c:valAx>
        <c:axId val="92779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millions</a:t>
                </a:r>
              </a:p>
            </c:rich>
          </c:tx>
          <c:layout>
            <c:manualLayout>
              <c:xMode val="edge"/>
              <c:yMode val="edge"/>
              <c:x val="0.71463002252697239"/>
              <c:y val="4.6625851157918238E-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7793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6997379961219"/>
          <c:y val="6.5050266114725017E-2"/>
          <c:w val="0.58177866778126697"/>
          <c:h val="0.80496747486694264"/>
        </c:manualLayout>
      </c:layout>
      <c:barChart>
        <c:barDir val="col"/>
        <c:grouping val="stacked"/>
        <c:varyColors val="0"/>
        <c:ser>
          <c:idx val="0"/>
          <c:order val="0"/>
          <c:tx>
            <c:strRef>
              <c:f>'Total loans pivot'!$H$108</c:f>
              <c:strCache>
                <c:ptCount val="1"/>
                <c:pt idx="0">
                  <c:v>Project type interventions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 loans pivot'!$I$107:$K$107</c:f>
              <c:numCache>
                <c:formatCode>General</c:formatCode>
                <c:ptCount val="3"/>
                <c:pt idx="0">
                  <c:v>2018</c:v>
                </c:pt>
                <c:pt idx="1">
                  <c:v>2019</c:v>
                </c:pt>
                <c:pt idx="2">
                  <c:v>2020</c:v>
                </c:pt>
              </c:numCache>
            </c:numRef>
          </c:cat>
          <c:val>
            <c:numRef>
              <c:f>'Total loans pivot'!$I$108:$K$108</c:f>
              <c:numCache>
                <c:formatCode>0</c:formatCode>
                <c:ptCount val="3"/>
                <c:pt idx="0">
                  <c:v>117.96112282466987</c:v>
                </c:pt>
                <c:pt idx="1">
                  <c:v>106.90594674909586</c:v>
                </c:pt>
                <c:pt idx="2">
                  <c:v>81.47965239704898</c:v>
                </c:pt>
              </c:numCache>
            </c:numRef>
          </c:val>
          <c:extLst>
            <c:ext xmlns:c16="http://schemas.microsoft.com/office/drawing/2014/chart" uri="{C3380CC4-5D6E-409C-BE32-E72D297353CC}">
              <c16:uniqueId val="{00000000-7BA0-4CA7-9607-EF36E0A56662}"/>
            </c:ext>
          </c:extLst>
        </c:ser>
        <c:ser>
          <c:idx val="1"/>
          <c:order val="1"/>
          <c:tx>
            <c:strRef>
              <c:f>'Total loans pivot'!$H$109</c:f>
              <c:strCache>
                <c:ptCount val="1"/>
                <c:pt idx="0">
                  <c:v>Sector budget support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'Total loans pivot'!$I$107:$K$107</c:f>
              <c:numCache>
                <c:formatCode>General</c:formatCode>
                <c:ptCount val="3"/>
                <c:pt idx="0">
                  <c:v>2018</c:v>
                </c:pt>
                <c:pt idx="1">
                  <c:v>2019</c:v>
                </c:pt>
                <c:pt idx="2">
                  <c:v>2020</c:v>
                </c:pt>
              </c:numCache>
            </c:numRef>
          </c:cat>
          <c:val>
            <c:numRef>
              <c:f>'Total loans pivot'!$I$109:$K$109</c:f>
              <c:numCache>
                <c:formatCode>0</c:formatCode>
                <c:ptCount val="3"/>
                <c:pt idx="0">
                  <c:v>12.543221644700001</c:v>
                </c:pt>
                <c:pt idx="1">
                  <c:v>22.584462559999999</c:v>
                </c:pt>
                <c:pt idx="2">
                  <c:v>19.656662551699998</c:v>
                </c:pt>
              </c:numCache>
            </c:numRef>
          </c:val>
          <c:extLst>
            <c:ext xmlns:c16="http://schemas.microsoft.com/office/drawing/2014/chart" uri="{C3380CC4-5D6E-409C-BE32-E72D297353CC}">
              <c16:uniqueId val="{00000001-7BA0-4CA7-9607-EF36E0A56662}"/>
            </c:ext>
          </c:extLst>
        </c:ser>
        <c:dLbls>
          <c:showLegendKey val="0"/>
          <c:showVal val="0"/>
          <c:showCatName val="0"/>
          <c:showSerName val="0"/>
          <c:showPercent val="0"/>
          <c:showBubbleSize val="0"/>
        </c:dLbls>
        <c:gapWidth val="150"/>
        <c:overlap val="100"/>
        <c:axId val="835679872"/>
        <c:axId val="835680288"/>
      </c:barChart>
      <c:catAx>
        <c:axId val="835679872"/>
        <c:scaling>
          <c:orientation val="minMax"/>
        </c:scaling>
        <c:delete val="0"/>
        <c:axPos val="b"/>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680288"/>
        <c:crosses val="autoZero"/>
        <c:auto val="1"/>
        <c:lblAlgn val="ctr"/>
        <c:lblOffset val="100"/>
        <c:noMultiLvlLbl val="0"/>
      </c:catAx>
      <c:valAx>
        <c:axId val="83568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a:t>
                </a:r>
              </a:p>
            </c:rich>
          </c:tx>
          <c:layout>
            <c:manualLayout>
              <c:xMode val="edge"/>
              <c:yMode val="edge"/>
              <c:x val="0"/>
              <c:y val="2.4553332371005233E-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679872"/>
        <c:crosses val="autoZero"/>
        <c:crossBetween val="between"/>
      </c:valAx>
      <c:spPr>
        <a:noFill/>
        <a:ln>
          <a:noFill/>
        </a:ln>
        <a:effectLst/>
      </c:spPr>
    </c:plotArea>
    <c:legend>
      <c:legendPos val="r"/>
      <c:layout>
        <c:manualLayout>
          <c:xMode val="edge"/>
          <c:yMode val="edge"/>
          <c:x val="0.70724864158087908"/>
          <c:y val="0.40567990798902948"/>
          <c:w val="0.29275135841912081"/>
          <c:h val="0.188640184021941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342990775755852"/>
          <c:y val="0.17466142420270864"/>
          <c:w val="0.6298118516297555"/>
          <c:h val="0.80283899225972555"/>
        </c:manualLayout>
      </c:layout>
      <c:barChart>
        <c:barDir val="bar"/>
        <c:grouping val="stacked"/>
        <c:varyColors val="0"/>
        <c:ser>
          <c:idx val="0"/>
          <c:order val="0"/>
          <c:tx>
            <c:strRef>
              <c:f>Sheet2!$B$1</c:f>
              <c:strCache>
                <c:ptCount val="1"/>
                <c:pt idx="0">
                  <c:v>2018</c:v>
                </c:pt>
              </c:strCache>
            </c:strRef>
          </c:tx>
          <c:spPr>
            <a:solidFill>
              <a:schemeClr val="accent2"/>
            </a:solidFill>
            <a:ln>
              <a:noFill/>
            </a:ln>
            <a:effectLst/>
          </c:spPr>
          <c:invertIfNegative val="0"/>
          <c:cat>
            <c:strRef>
              <c:f>Sheet2!$A$2:$A$13</c:f>
              <c:strCache>
                <c:ptCount val="12"/>
                <c:pt idx="0">
                  <c:v>Governance and security</c:v>
                </c:pt>
                <c:pt idx="1">
                  <c:v>Other</c:v>
                </c:pt>
                <c:pt idx="2">
                  <c:v>Infrastructure</c:v>
                </c:pt>
                <c:pt idx="3">
                  <c:v>Agriculture and food security</c:v>
                </c:pt>
                <c:pt idx="4">
                  <c:v>Other social services</c:v>
                </c:pt>
                <c:pt idx="5">
                  <c:v>Education</c:v>
                </c:pt>
                <c:pt idx="6">
                  <c:v>Water and sanitation</c:v>
                </c:pt>
                <c:pt idx="7">
                  <c:v>Humanitarian</c:v>
                </c:pt>
                <c:pt idx="8">
                  <c:v>Industry and trade</c:v>
                </c:pt>
                <c:pt idx="9">
                  <c:v>Health</c:v>
                </c:pt>
                <c:pt idx="10">
                  <c:v>Banking and business</c:v>
                </c:pt>
                <c:pt idx="11">
                  <c:v>Environment</c:v>
                </c:pt>
              </c:strCache>
            </c:strRef>
          </c:cat>
          <c:val>
            <c:numRef>
              <c:f>Sheet2!$B$2:$B$13</c:f>
              <c:numCache>
                <c:formatCode>General</c:formatCode>
                <c:ptCount val="12"/>
                <c:pt idx="0">
                  <c:v>3</c:v>
                </c:pt>
                <c:pt idx="1">
                  <c:v>32</c:v>
                </c:pt>
                <c:pt idx="2">
                  <c:v>53</c:v>
                </c:pt>
                <c:pt idx="3">
                  <c:v>17</c:v>
                </c:pt>
                <c:pt idx="4">
                  <c:v>26</c:v>
                </c:pt>
                <c:pt idx="5">
                  <c:v>7</c:v>
                </c:pt>
                <c:pt idx="6">
                  <c:v>37</c:v>
                </c:pt>
                <c:pt idx="7">
                  <c:v>6</c:v>
                </c:pt>
                <c:pt idx="8">
                  <c:v>11</c:v>
                </c:pt>
                <c:pt idx="10">
                  <c:v>2</c:v>
                </c:pt>
                <c:pt idx="11">
                  <c:v>2</c:v>
                </c:pt>
              </c:numCache>
            </c:numRef>
          </c:val>
          <c:extLst>
            <c:ext xmlns:c16="http://schemas.microsoft.com/office/drawing/2014/chart" uri="{C3380CC4-5D6E-409C-BE32-E72D297353CC}">
              <c16:uniqueId val="{00000000-8AFC-403C-83A2-3E439DE76BBB}"/>
            </c:ext>
          </c:extLst>
        </c:ser>
        <c:ser>
          <c:idx val="1"/>
          <c:order val="1"/>
          <c:tx>
            <c:strRef>
              <c:f>Sheet2!$C$1</c:f>
              <c:strCache>
                <c:ptCount val="1"/>
                <c:pt idx="0">
                  <c:v>2019</c:v>
                </c:pt>
              </c:strCache>
            </c:strRef>
          </c:tx>
          <c:spPr>
            <a:solidFill>
              <a:schemeClr val="accent3"/>
            </a:solidFill>
            <a:ln>
              <a:noFill/>
            </a:ln>
            <a:effectLst/>
          </c:spPr>
          <c:invertIfNegative val="0"/>
          <c:cat>
            <c:strRef>
              <c:f>Sheet2!$A$2:$A$13</c:f>
              <c:strCache>
                <c:ptCount val="12"/>
                <c:pt idx="0">
                  <c:v>Governance and security</c:v>
                </c:pt>
                <c:pt idx="1">
                  <c:v>Other</c:v>
                </c:pt>
                <c:pt idx="2">
                  <c:v>Infrastructure</c:v>
                </c:pt>
                <c:pt idx="3">
                  <c:v>Agriculture and food security</c:v>
                </c:pt>
                <c:pt idx="4">
                  <c:v>Other social services</c:v>
                </c:pt>
                <c:pt idx="5">
                  <c:v>Education</c:v>
                </c:pt>
                <c:pt idx="6">
                  <c:v>Water and sanitation</c:v>
                </c:pt>
                <c:pt idx="7">
                  <c:v>Humanitarian</c:v>
                </c:pt>
                <c:pt idx="8">
                  <c:v>Industry and trade</c:v>
                </c:pt>
                <c:pt idx="9">
                  <c:v>Health</c:v>
                </c:pt>
                <c:pt idx="10">
                  <c:v>Banking and business</c:v>
                </c:pt>
                <c:pt idx="11">
                  <c:v>Environment</c:v>
                </c:pt>
              </c:strCache>
            </c:strRef>
          </c:cat>
          <c:val>
            <c:numRef>
              <c:f>Sheet2!$C$2:$C$13</c:f>
              <c:numCache>
                <c:formatCode>General</c:formatCode>
                <c:ptCount val="12"/>
                <c:pt idx="0">
                  <c:v>46</c:v>
                </c:pt>
                <c:pt idx="1">
                  <c:v>80</c:v>
                </c:pt>
                <c:pt idx="2">
                  <c:v>83</c:v>
                </c:pt>
                <c:pt idx="3">
                  <c:v>4</c:v>
                </c:pt>
                <c:pt idx="4">
                  <c:v>36</c:v>
                </c:pt>
                <c:pt idx="5">
                  <c:v>26</c:v>
                </c:pt>
                <c:pt idx="6">
                  <c:v>10</c:v>
                </c:pt>
                <c:pt idx="7">
                  <c:v>19</c:v>
                </c:pt>
                <c:pt idx="8">
                  <c:v>9</c:v>
                </c:pt>
                <c:pt idx="9">
                  <c:v>5</c:v>
                </c:pt>
                <c:pt idx="10">
                  <c:v>1</c:v>
                </c:pt>
              </c:numCache>
            </c:numRef>
          </c:val>
          <c:extLst>
            <c:ext xmlns:c16="http://schemas.microsoft.com/office/drawing/2014/chart" uri="{C3380CC4-5D6E-409C-BE32-E72D297353CC}">
              <c16:uniqueId val="{00000001-8AFC-403C-83A2-3E439DE76BBB}"/>
            </c:ext>
          </c:extLst>
        </c:ser>
        <c:ser>
          <c:idx val="2"/>
          <c:order val="2"/>
          <c:tx>
            <c:strRef>
              <c:f>Sheet2!$D$1</c:f>
              <c:strCache>
                <c:ptCount val="1"/>
                <c:pt idx="0">
                  <c:v>2020</c:v>
                </c:pt>
              </c:strCache>
            </c:strRef>
          </c:tx>
          <c:spPr>
            <a:solidFill>
              <a:schemeClr val="accent5"/>
            </a:solidFill>
            <a:ln>
              <a:noFill/>
            </a:ln>
            <a:effectLst/>
          </c:spPr>
          <c:invertIfNegative val="0"/>
          <c:cat>
            <c:strRef>
              <c:f>Sheet2!$A$2:$A$13</c:f>
              <c:strCache>
                <c:ptCount val="12"/>
                <c:pt idx="0">
                  <c:v>Governance and security</c:v>
                </c:pt>
                <c:pt idx="1">
                  <c:v>Other</c:v>
                </c:pt>
                <c:pt idx="2">
                  <c:v>Infrastructure</c:v>
                </c:pt>
                <c:pt idx="3">
                  <c:v>Agriculture and food security</c:v>
                </c:pt>
                <c:pt idx="4">
                  <c:v>Other social services</c:v>
                </c:pt>
                <c:pt idx="5">
                  <c:v>Education</c:v>
                </c:pt>
                <c:pt idx="6">
                  <c:v>Water and sanitation</c:v>
                </c:pt>
                <c:pt idx="7">
                  <c:v>Humanitarian</c:v>
                </c:pt>
                <c:pt idx="8">
                  <c:v>Industry and trade</c:v>
                </c:pt>
                <c:pt idx="9">
                  <c:v>Health</c:v>
                </c:pt>
                <c:pt idx="10">
                  <c:v>Banking and business</c:v>
                </c:pt>
                <c:pt idx="11">
                  <c:v>Environment</c:v>
                </c:pt>
              </c:strCache>
            </c:strRef>
          </c:cat>
          <c:val>
            <c:numRef>
              <c:f>Sheet2!$D$2:$D$13</c:f>
              <c:numCache>
                <c:formatCode>General</c:formatCode>
                <c:ptCount val="12"/>
                <c:pt idx="0">
                  <c:v>253</c:v>
                </c:pt>
                <c:pt idx="1">
                  <c:v>130</c:v>
                </c:pt>
                <c:pt idx="2">
                  <c:v>79</c:v>
                </c:pt>
                <c:pt idx="3">
                  <c:v>98</c:v>
                </c:pt>
                <c:pt idx="4">
                  <c:v>62</c:v>
                </c:pt>
                <c:pt idx="5">
                  <c:v>50</c:v>
                </c:pt>
                <c:pt idx="6">
                  <c:v>3</c:v>
                </c:pt>
                <c:pt idx="7">
                  <c:v>21</c:v>
                </c:pt>
                <c:pt idx="8">
                  <c:v>8</c:v>
                </c:pt>
                <c:pt idx="9">
                  <c:v>5</c:v>
                </c:pt>
                <c:pt idx="10">
                  <c:v>1</c:v>
                </c:pt>
              </c:numCache>
            </c:numRef>
          </c:val>
          <c:extLst>
            <c:ext xmlns:c16="http://schemas.microsoft.com/office/drawing/2014/chart" uri="{C3380CC4-5D6E-409C-BE32-E72D297353CC}">
              <c16:uniqueId val="{00000002-8AFC-403C-83A2-3E439DE76BBB}"/>
            </c:ext>
          </c:extLst>
        </c:ser>
        <c:ser>
          <c:idx val="3"/>
          <c:order val="3"/>
          <c:tx>
            <c:strRef>
              <c:f>Sheet2!$E$1</c:f>
              <c:strCache>
                <c:ptCount val="1"/>
                <c:pt idx="0">
                  <c:v>2021</c:v>
                </c:pt>
              </c:strCache>
            </c:strRef>
          </c:tx>
          <c:spPr>
            <a:pattFill prst="pct25">
              <a:fgClr>
                <a:schemeClr val="tx2"/>
              </a:fgClr>
              <a:bgClr>
                <a:schemeClr val="bg1"/>
              </a:bgClr>
            </a:pattFill>
            <a:ln>
              <a:noFill/>
            </a:ln>
            <a:effectLst/>
          </c:spPr>
          <c:invertIfNegative val="0"/>
          <c:cat>
            <c:strRef>
              <c:f>Sheet2!$A$2:$A$13</c:f>
              <c:strCache>
                <c:ptCount val="12"/>
                <c:pt idx="0">
                  <c:v>Governance and security</c:v>
                </c:pt>
                <c:pt idx="1">
                  <c:v>Other</c:v>
                </c:pt>
                <c:pt idx="2">
                  <c:v>Infrastructure</c:v>
                </c:pt>
                <c:pt idx="3">
                  <c:v>Agriculture and food security</c:v>
                </c:pt>
                <c:pt idx="4">
                  <c:v>Other social services</c:v>
                </c:pt>
                <c:pt idx="5">
                  <c:v>Education</c:v>
                </c:pt>
                <c:pt idx="6">
                  <c:v>Water and sanitation</c:v>
                </c:pt>
                <c:pt idx="7">
                  <c:v>Humanitarian</c:v>
                </c:pt>
                <c:pt idx="8">
                  <c:v>Industry and trade</c:v>
                </c:pt>
                <c:pt idx="9">
                  <c:v>Health</c:v>
                </c:pt>
                <c:pt idx="10">
                  <c:v>Banking and business</c:v>
                </c:pt>
                <c:pt idx="11">
                  <c:v>Environment</c:v>
                </c:pt>
              </c:strCache>
            </c:strRef>
          </c:cat>
          <c:val>
            <c:numRef>
              <c:f>Sheet2!$E$2:$E$13</c:f>
              <c:numCache>
                <c:formatCode>General</c:formatCode>
                <c:ptCount val="12"/>
                <c:pt idx="0">
                  <c:v>46</c:v>
                </c:pt>
                <c:pt idx="1">
                  <c:v>14</c:v>
                </c:pt>
                <c:pt idx="2">
                  <c:v>31</c:v>
                </c:pt>
                <c:pt idx="3">
                  <c:v>6</c:v>
                </c:pt>
                <c:pt idx="4">
                  <c:v>0</c:v>
                </c:pt>
                <c:pt idx="5">
                  <c:v>22</c:v>
                </c:pt>
                <c:pt idx="6">
                  <c:v>7</c:v>
                </c:pt>
                <c:pt idx="7">
                  <c:v>6</c:v>
                </c:pt>
                <c:pt idx="8">
                  <c:v>2</c:v>
                </c:pt>
                <c:pt idx="9">
                  <c:v>6</c:v>
                </c:pt>
              </c:numCache>
            </c:numRef>
          </c:val>
          <c:extLst>
            <c:ext xmlns:c16="http://schemas.microsoft.com/office/drawing/2014/chart" uri="{C3380CC4-5D6E-409C-BE32-E72D297353CC}">
              <c16:uniqueId val="{00000003-8AFC-403C-83A2-3E439DE76BBB}"/>
            </c:ext>
          </c:extLst>
        </c:ser>
        <c:ser>
          <c:idx val="4"/>
          <c:order val="4"/>
          <c:tx>
            <c:strRef>
              <c:f>Sheet2!$F$1</c:f>
              <c:strCache>
                <c:ptCount val="1"/>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Sheet2!$A$2:$A$13</c:f>
              <c:strCache>
                <c:ptCount val="12"/>
                <c:pt idx="0">
                  <c:v>Governance and security</c:v>
                </c:pt>
                <c:pt idx="1">
                  <c:v>Other</c:v>
                </c:pt>
                <c:pt idx="2">
                  <c:v>Infrastructure</c:v>
                </c:pt>
                <c:pt idx="3">
                  <c:v>Agriculture and food security</c:v>
                </c:pt>
                <c:pt idx="4">
                  <c:v>Other social services</c:v>
                </c:pt>
                <c:pt idx="5">
                  <c:v>Education</c:v>
                </c:pt>
                <c:pt idx="6">
                  <c:v>Water and sanitation</c:v>
                </c:pt>
                <c:pt idx="7">
                  <c:v>Humanitarian</c:v>
                </c:pt>
                <c:pt idx="8">
                  <c:v>Industry and trade</c:v>
                </c:pt>
                <c:pt idx="9">
                  <c:v>Health</c:v>
                </c:pt>
                <c:pt idx="10">
                  <c:v>Banking and business</c:v>
                </c:pt>
                <c:pt idx="11">
                  <c:v>Environment</c:v>
                </c:pt>
              </c:strCache>
            </c:strRef>
          </c:cat>
          <c:val>
            <c:numRef>
              <c:f>Sheet2!$F$2:$F$13</c:f>
              <c:numCache>
                <c:formatCode>General</c:formatCode>
                <c:ptCount val="12"/>
                <c:pt idx="0">
                  <c:v>348</c:v>
                </c:pt>
                <c:pt idx="1">
                  <c:v>256</c:v>
                </c:pt>
                <c:pt idx="2">
                  <c:v>246</c:v>
                </c:pt>
                <c:pt idx="3">
                  <c:v>125</c:v>
                </c:pt>
                <c:pt idx="4">
                  <c:v>124</c:v>
                </c:pt>
                <c:pt idx="5">
                  <c:v>105</c:v>
                </c:pt>
                <c:pt idx="6">
                  <c:v>57</c:v>
                </c:pt>
                <c:pt idx="7">
                  <c:v>52</c:v>
                </c:pt>
                <c:pt idx="8">
                  <c:v>30</c:v>
                </c:pt>
                <c:pt idx="9">
                  <c:v>16</c:v>
                </c:pt>
                <c:pt idx="10">
                  <c:v>4</c:v>
                </c:pt>
                <c:pt idx="11">
                  <c:v>2</c:v>
                </c:pt>
              </c:numCache>
            </c:numRef>
          </c:val>
          <c:extLst>
            <c:ext xmlns:c16="http://schemas.microsoft.com/office/drawing/2014/chart" uri="{C3380CC4-5D6E-409C-BE32-E72D297353CC}">
              <c16:uniqueId val="{00000004-8AFC-403C-83A2-3E439DE76BBB}"/>
            </c:ext>
          </c:extLst>
        </c:ser>
        <c:dLbls>
          <c:showLegendKey val="0"/>
          <c:showVal val="0"/>
          <c:showCatName val="0"/>
          <c:showSerName val="0"/>
          <c:showPercent val="0"/>
          <c:showBubbleSize val="0"/>
        </c:dLbls>
        <c:gapWidth val="60"/>
        <c:overlap val="100"/>
        <c:axId val="70417872"/>
        <c:axId val="70414544"/>
      </c:barChart>
      <c:catAx>
        <c:axId val="70417872"/>
        <c:scaling>
          <c:orientation val="maxMin"/>
        </c:scaling>
        <c:delete val="0"/>
        <c:axPos val="l"/>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4544"/>
        <c:crosses val="autoZero"/>
        <c:auto val="1"/>
        <c:lblAlgn val="ctr"/>
        <c:lblOffset val="100"/>
        <c:noMultiLvlLbl val="0"/>
      </c:catAx>
      <c:valAx>
        <c:axId val="70414544"/>
        <c:scaling>
          <c:orientation val="minMax"/>
          <c:max val="350"/>
          <c:min val="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a:effectLst/>
                  </a:rPr>
                  <a:t>US$ million</a:t>
                </a:r>
                <a:endParaRPr lang="en-GB" sz="900" b="0">
                  <a:effectLst/>
                </a:endParaRPr>
              </a:p>
            </c:rich>
          </c:tx>
          <c:layout>
            <c:manualLayout>
              <c:xMode val="edge"/>
              <c:yMode val="edge"/>
              <c:x val="0.86971765334275841"/>
              <c:y val="1.9679879464608208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17872"/>
        <c:crosses val="autoZero"/>
        <c:crossBetween val="between"/>
      </c:valAx>
      <c:spPr>
        <a:noFill/>
        <a:ln>
          <a:noFill/>
        </a:ln>
        <a:effectLst/>
      </c:spPr>
    </c:plotArea>
    <c:legend>
      <c:legendPos val="b"/>
      <c:layout>
        <c:manualLayout>
          <c:xMode val="edge"/>
          <c:yMode val="edge"/>
          <c:x val="0.30536249164794377"/>
          <c:y val="4.1523479289859262E-3"/>
          <c:w val="0.37918781776285027"/>
          <c:h val="6.967901948036311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2716784878877587"/>
          <c:y val="0.17936373568073136"/>
          <c:w val="0.43477349850097191"/>
          <c:h val="0.77883385952895845"/>
        </c:manualLayout>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WB!$A$77:$A$81</c:f>
              <c:strCache>
                <c:ptCount val="5"/>
                <c:pt idx="0">
                  <c:v>Northern Uganda Social Action Fund III</c:v>
                </c:pt>
                <c:pt idx="1">
                  <c:v>Agricultural Cluster Development</c:v>
                </c:pt>
                <c:pt idx="2">
                  <c:v>Support to Municipal Infrastructure Development Programme</c:v>
                </c:pt>
                <c:pt idx="3">
                  <c:v>Intergovernmental Fiscal Transfers Programme</c:v>
                </c:pt>
                <c:pt idx="4">
                  <c:v>Covid-19  Recovery</c:v>
                </c:pt>
              </c:strCache>
            </c:strRef>
          </c:cat>
          <c:val>
            <c:numRef>
              <c:f>WB!$B$77:$B$81</c:f>
              <c:numCache>
                <c:formatCode>General</c:formatCode>
                <c:ptCount val="5"/>
                <c:pt idx="0">
                  <c:v>94.9</c:v>
                </c:pt>
                <c:pt idx="1">
                  <c:v>97.7</c:v>
                </c:pt>
                <c:pt idx="2">
                  <c:v>142.5</c:v>
                </c:pt>
                <c:pt idx="3">
                  <c:v>176.6</c:v>
                </c:pt>
                <c:pt idx="4">
                  <c:v>304.10000000000002</c:v>
                </c:pt>
              </c:numCache>
            </c:numRef>
          </c:val>
          <c:extLst>
            <c:ext xmlns:c16="http://schemas.microsoft.com/office/drawing/2014/chart" uri="{C3380CC4-5D6E-409C-BE32-E72D297353CC}">
              <c16:uniqueId val="{00000000-8F3D-47FF-B300-6E347C9A9AB1}"/>
            </c:ext>
          </c:extLst>
        </c:ser>
        <c:ser>
          <c:idx val="1"/>
          <c:order val="1"/>
          <c:spPr>
            <a:noFill/>
            <a:ln>
              <a:noFill/>
            </a:ln>
            <a:effectLst/>
          </c:spPr>
          <c:invertIfNegative val="0"/>
          <c:dLbls>
            <c:dLbl>
              <c:idx val="4"/>
              <c:tx>
                <c:rich>
                  <a:bodyPr/>
                  <a:lstStyle/>
                  <a:p>
                    <a:r>
                      <a:rPr lang="en-US"/>
                      <a:t>22% of </a:t>
                    </a:r>
                    <a:br>
                      <a:rPr lang="en-US"/>
                    </a:br>
                    <a:r>
                      <a:rPr lang="en-US"/>
                      <a:t>the total</a:t>
                    </a:r>
                  </a:p>
                </c:rich>
              </c:tx>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F3D-47FF-B300-6E347C9A9A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0"/>
              </c:ext>
            </c:extLst>
          </c:dLbls>
          <c:cat>
            <c:strRef>
              <c:f>WB!$A$77:$A$81</c:f>
              <c:strCache>
                <c:ptCount val="5"/>
                <c:pt idx="0">
                  <c:v>Northern Uganda Social Action Fund III</c:v>
                </c:pt>
                <c:pt idx="1">
                  <c:v>Agricultural Cluster Development</c:v>
                </c:pt>
                <c:pt idx="2">
                  <c:v>Support to Municipal Infrastructure Development Programme</c:v>
                </c:pt>
                <c:pt idx="3">
                  <c:v>Intergovernmental Fiscal Transfers Programme</c:v>
                </c:pt>
                <c:pt idx="4">
                  <c:v>Covid-19  Recovery</c:v>
                </c:pt>
              </c:strCache>
            </c:strRef>
          </c:cat>
          <c:val>
            <c:numRef>
              <c:f>WB!$C$77:$C$81</c:f>
              <c:numCache>
                <c:formatCode>0%</c:formatCode>
                <c:ptCount val="5"/>
                <c:pt idx="0">
                  <c:v>6.9633724656872925E-2</c:v>
                </c:pt>
                <c:pt idx="1">
                  <c:v>7.1688249725779599E-2</c:v>
                </c:pt>
                <c:pt idx="2">
                  <c:v>0.10456065082828653</c:v>
                </c:pt>
                <c:pt idx="3">
                  <c:v>0.1295818311317572</c:v>
                </c:pt>
                <c:pt idx="4">
                  <c:v>0.22313609766232936</c:v>
                </c:pt>
              </c:numCache>
            </c:numRef>
          </c:val>
          <c:extLst>
            <c:ext xmlns:c16="http://schemas.microsoft.com/office/drawing/2014/chart" uri="{C3380CC4-5D6E-409C-BE32-E72D297353CC}">
              <c16:uniqueId val="{00000002-8F3D-47FF-B300-6E347C9A9AB1}"/>
            </c:ext>
          </c:extLst>
        </c:ser>
        <c:dLbls>
          <c:showLegendKey val="0"/>
          <c:showVal val="0"/>
          <c:showCatName val="0"/>
          <c:showSerName val="0"/>
          <c:showPercent val="0"/>
          <c:showBubbleSize val="0"/>
        </c:dLbls>
        <c:gapWidth val="100"/>
        <c:overlap val="100"/>
        <c:axId val="996299456"/>
        <c:axId val="996292800"/>
      </c:barChart>
      <c:catAx>
        <c:axId val="996299456"/>
        <c:scaling>
          <c:orientation val="minMax"/>
        </c:scaling>
        <c:delete val="0"/>
        <c:axPos val="l"/>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292800"/>
        <c:crosses val="autoZero"/>
        <c:auto val="1"/>
        <c:lblAlgn val="ctr"/>
        <c:lblOffset val="100"/>
        <c:noMultiLvlLbl val="0"/>
      </c:catAx>
      <c:valAx>
        <c:axId val="99629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a:t>
                </a:r>
                <a:r>
                  <a:rPr lang="en-GB" baseline="0"/>
                  <a:t> million</a:t>
                </a:r>
                <a:endParaRPr lang="en-GB"/>
              </a:p>
            </c:rich>
          </c:tx>
          <c:layout>
            <c:manualLayout>
              <c:xMode val="edge"/>
              <c:yMode val="edge"/>
              <c:x val="0.8548750691247442"/>
              <c:y val="2.8712212860184934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2994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81714785651792"/>
          <c:y val="5.0925925925925923E-2"/>
          <c:w val="0.81862729658792655"/>
          <c:h val="0.78224672782954152"/>
        </c:manualLayout>
      </c:layout>
      <c:barChart>
        <c:barDir val="col"/>
        <c:grouping val="clustered"/>
        <c:varyColors val="0"/>
        <c:ser>
          <c:idx val="0"/>
          <c:order val="0"/>
          <c:tx>
            <c:strRef>
              <c:f>IMF!$A$3</c:f>
              <c:strCache>
                <c:ptCount val="1"/>
              </c:strCache>
            </c:strRef>
          </c:tx>
          <c:spPr>
            <a:solidFill>
              <a:schemeClr val="accent1"/>
            </a:solidFill>
            <a:ln>
              <a:noFill/>
            </a:ln>
            <a:effectLst/>
          </c:spPr>
          <c:invertIfNegative val="0"/>
          <c:dPt>
            <c:idx val="1"/>
            <c:invertIfNegative val="0"/>
            <c:bubble3D val="0"/>
            <c:spPr>
              <a:pattFill prst="pct25">
                <a:fgClr>
                  <a:schemeClr val="tx2"/>
                </a:fgClr>
                <a:bgClr>
                  <a:schemeClr val="bg1"/>
                </a:bgClr>
              </a:pattFill>
              <a:ln>
                <a:noFill/>
              </a:ln>
              <a:effectLst/>
            </c:spPr>
            <c:extLst>
              <c:ext xmlns:c16="http://schemas.microsoft.com/office/drawing/2014/chart" uri="{C3380CC4-5D6E-409C-BE32-E72D297353CC}">
                <c16:uniqueId val="{00000000-F16F-46F0-8A44-085A16EF82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IMF!$B$2:$C$2</c:f>
              <c:numCache>
                <c:formatCode>General</c:formatCode>
                <c:ptCount val="2"/>
                <c:pt idx="0">
                  <c:v>2020</c:v>
                </c:pt>
                <c:pt idx="1">
                  <c:v>2021</c:v>
                </c:pt>
              </c:numCache>
            </c:numRef>
          </c:cat>
          <c:val>
            <c:numRef>
              <c:f>IMF!$B$3:$C$3</c:f>
              <c:numCache>
                <c:formatCode>_-* #,##0_-;\-* #,##0_-;_-* "-"??_-;_-@_-</c:formatCode>
                <c:ptCount val="2"/>
                <c:pt idx="0">
                  <c:v>492</c:v>
                </c:pt>
                <c:pt idx="1">
                  <c:v>258</c:v>
                </c:pt>
              </c:numCache>
            </c:numRef>
          </c:val>
          <c:extLst>
            <c:ext xmlns:c16="http://schemas.microsoft.com/office/drawing/2014/chart" uri="{C3380CC4-5D6E-409C-BE32-E72D297353CC}">
              <c16:uniqueId val="{00000000-0206-4B0C-A161-B9171F3323DF}"/>
            </c:ext>
          </c:extLst>
        </c:ser>
        <c:ser>
          <c:idx val="1"/>
          <c:order val="1"/>
          <c:tx>
            <c:strRef>
              <c:f>IMF!#REF!</c:f>
              <c:strCache>
                <c:ptCount val="1"/>
                <c:pt idx="0">
                  <c:v>#REF!</c:v>
                </c:pt>
              </c:strCache>
            </c:strRef>
          </c:tx>
          <c:spPr>
            <a:solidFill>
              <a:schemeClr val="accent2"/>
            </a:solidFill>
            <a:ln>
              <a:noFill/>
            </a:ln>
            <a:effectLst/>
          </c:spPr>
          <c:invertIfNegative val="0"/>
          <c:cat>
            <c:numRef>
              <c:f>IMF!$B$2:$C$2</c:f>
              <c:numCache>
                <c:formatCode>General</c:formatCode>
                <c:ptCount val="2"/>
                <c:pt idx="0">
                  <c:v>2020</c:v>
                </c:pt>
                <c:pt idx="1">
                  <c:v>2021</c:v>
                </c:pt>
              </c:numCache>
            </c:numRef>
          </c:cat>
          <c:val>
            <c:numRef>
              <c:f>IMF!#REF!</c:f>
              <c:numCache>
                <c:formatCode>General</c:formatCode>
                <c:ptCount val="1"/>
                <c:pt idx="0">
                  <c:v>1</c:v>
                </c:pt>
              </c:numCache>
            </c:numRef>
          </c:val>
          <c:extLst>
            <c:ext xmlns:c16="http://schemas.microsoft.com/office/drawing/2014/chart" uri="{C3380CC4-5D6E-409C-BE32-E72D297353CC}">
              <c16:uniqueId val="{00000001-0206-4B0C-A161-B9171F3323DF}"/>
            </c:ext>
          </c:extLst>
        </c:ser>
        <c:dLbls>
          <c:showLegendKey val="0"/>
          <c:showVal val="0"/>
          <c:showCatName val="0"/>
          <c:showSerName val="0"/>
          <c:showPercent val="0"/>
          <c:showBubbleSize val="0"/>
        </c:dLbls>
        <c:gapWidth val="100"/>
        <c:overlap val="-27"/>
        <c:axId val="2099676320"/>
        <c:axId val="2099675904"/>
      </c:barChart>
      <c:catAx>
        <c:axId val="2099676320"/>
        <c:scaling>
          <c:orientation val="minMax"/>
        </c:scaling>
        <c:delete val="0"/>
        <c:axPos val="b"/>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75904"/>
        <c:crosses val="autoZero"/>
        <c:auto val="1"/>
        <c:lblAlgn val="ctr"/>
        <c:lblOffset val="100"/>
        <c:noMultiLvlLbl val="0"/>
      </c:catAx>
      <c:valAx>
        <c:axId val="209967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a:t>
                </a:r>
              </a:p>
            </c:rich>
          </c:tx>
          <c:layout>
            <c:manualLayout>
              <c:xMode val="edge"/>
              <c:yMode val="edge"/>
              <c:x val="0"/>
              <c:y val="7.1197747680383826E-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763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2351690813582101"/>
          <c:y val="0.15300420972062764"/>
          <c:w val="0.64242060210258356"/>
          <c:h val="0.76299453670472595"/>
        </c:manualLayout>
      </c:layout>
      <c:barChart>
        <c:barDir val="bar"/>
        <c:grouping val="stacked"/>
        <c:varyColors val="0"/>
        <c:ser>
          <c:idx val="0"/>
          <c:order val="0"/>
          <c:tx>
            <c:strRef>
              <c:f>Sheet2!$B$19</c:f>
              <c:strCache>
                <c:ptCount val="1"/>
                <c:pt idx="0">
                  <c:v>2018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Sheet2!$A$20:$A$25</c:f>
              <c:strCache>
                <c:ptCount val="6"/>
                <c:pt idx="0">
                  <c:v>Agriculture and food security</c:v>
                </c:pt>
                <c:pt idx="1">
                  <c:v>Infrastructure</c:v>
                </c:pt>
                <c:pt idx="2">
                  <c:v>Water and sanitation</c:v>
                </c:pt>
                <c:pt idx="3">
                  <c:v>Education</c:v>
                </c:pt>
                <c:pt idx="4">
                  <c:v>Health</c:v>
                </c:pt>
                <c:pt idx="5">
                  <c:v>Other</c:v>
                </c:pt>
              </c:strCache>
            </c:strRef>
          </c:cat>
          <c:val>
            <c:numRef>
              <c:f>Sheet2!$B$20:$B$25</c:f>
              <c:numCache>
                <c:formatCode>General</c:formatCode>
                <c:ptCount val="6"/>
                <c:pt idx="0">
                  <c:v>28</c:v>
                </c:pt>
                <c:pt idx="1">
                  <c:v>26</c:v>
                </c:pt>
                <c:pt idx="2">
                  <c:v>31</c:v>
                </c:pt>
                <c:pt idx="3">
                  <c:v>29</c:v>
                </c:pt>
                <c:pt idx="4">
                  <c:v>15</c:v>
                </c:pt>
                <c:pt idx="5">
                  <c:v>1</c:v>
                </c:pt>
              </c:numCache>
            </c:numRef>
          </c:val>
          <c:extLst>
            <c:ext xmlns:c16="http://schemas.microsoft.com/office/drawing/2014/chart" uri="{C3380CC4-5D6E-409C-BE32-E72D297353CC}">
              <c16:uniqueId val="{00000000-1886-4D2E-BA3D-5AC8A2456944}"/>
            </c:ext>
          </c:extLst>
        </c:ser>
        <c:ser>
          <c:idx val="1"/>
          <c:order val="1"/>
          <c:tx>
            <c:strRef>
              <c:f>Sheet2!$C$19</c:f>
              <c:strCache>
                <c:ptCount val="1"/>
                <c:pt idx="0">
                  <c:v>2019</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Sheet2!$A$20:$A$25</c:f>
              <c:strCache>
                <c:ptCount val="6"/>
                <c:pt idx="0">
                  <c:v>Agriculture and food security</c:v>
                </c:pt>
                <c:pt idx="1">
                  <c:v>Infrastructure</c:v>
                </c:pt>
                <c:pt idx="2">
                  <c:v>Water and sanitation</c:v>
                </c:pt>
                <c:pt idx="3">
                  <c:v>Education</c:v>
                </c:pt>
                <c:pt idx="4">
                  <c:v>Health</c:v>
                </c:pt>
                <c:pt idx="5">
                  <c:v>Other</c:v>
                </c:pt>
              </c:strCache>
            </c:strRef>
          </c:cat>
          <c:val>
            <c:numRef>
              <c:f>Sheet2!$C$20:$C$25</c:f>
              <c:numCache>
                <c:formatCode>General</c:formatCode>
                <c:ptCount val="6"/>
                <c:pt idx="0">
                  <c:v>44</c:v>
                </c:pt>
                <c:pt idx="1">
                  <c:v>33</c:v>
                </c:pt>
                <c:pt idx="2">
                  <c:v>31</c:v>
                </c:pt>
                <c:pt idx="3">
                  <c:v>20</c:v>
                </c:pt>
                <c:pt idx="4">
                  <c:v>2</c:v>
                </c:pt>
              </c:numCache>
            </c:numRef>
          </c:val>
          <c:extLst>
            <c:ext xmlns:c16="http://schemas.microsoft.com/office/drawing/2014/chart" uri="{C3380CC4-5D6E-409C-BE32-E72D297353CC}">
              <c16:uniqueId val="{00000001-1886-4D2E-BA3D-5AC8A2456944}"/>
            </c:ext>
          </c:extLst>
        </c:ser>
        <c:ser>
          <c:idx val="2"/>
          <c:order val="2"/>
          <c:tx>
            <c:strRef>
              <c:f>Sheet2!$D$19</c:f>
              <c:strCache>
                <c:ptCount val="1"/>
                <c:pt idx="0">
                  <c:v>2020</c:v>
                </c:pt>
              </c:strCache>
            </c:strRef>
          </c:tx>
          <c:spPr>
            <a:solidFill>
              <a:schemeClr val="accent5"/>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DDD1-4F95-8C1C-FED2BD36BFE9}"/>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2-DDD1-4F95-8C1C-FED2BD36BFE9}"/>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DDD1-4F95-8C1C-FED2BD36BFE9}"/>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0-DDD1-4F95-8C1C-FED2BD36BFE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Sheet2!$A$20:$A$25</c:f>
              <c:strCache>
                <c:ptCount val="6"/>
                <c:pt idx="0">
                  <c:v>Agriculture and food security</c:v>
                </c:pt>
                <c:pt idx="1">
                  <c:v>Infrastructure</c:v>
                </c:pt>
                <c:pt idx="2">
                  <c:v>Water and sanitation</c:v>
                </c:pt>
                <c:pt idx="3">
                  <c:v>Education</c:v>
                </c:pt>
                <c:pt idx="4">
                  <c:v>Health</c:v>
                </c:pt>
                <c:pt idx="5">
                  <c:v>Other</c:v>
                </c:pt>
              </c:strCache>
            </c:strRef>
          </c:cat>
          <c:val>
            <c:numRef>
              <c:f>Sheet2!$D$20:$D$25</c:f>
              <c:numCache>
                <c:formatCode>General</c:formatCode>
                <c:ptCount val="6"/>
                <c:pt idx="0">
                  <c:v>31</c:v>
                </c:pt>
                <c:pt idx="1">
                  <c:v>33</c:v>
                </c:pt>
                <c:pt idx="2">
                  <c:v>29</c:v>
                </c:pt>
                <c:pt idx="3">
                  <c:v>5</c:v>
                </c:pt>
                <c:pt idx="4">
                  <c:v>2</c:v>
                </c:pt>
              </c:numCache>
            </c:numRef>
          </c:val>
          <c:extLst>
            <c:ext xmlns:c16="http://schemas.microsoft.com/office/drawing/2014/chart" uri="{C3380CC4-5D6E-409C-BE32-E72D297353CC}">
              <c16:uniqueId val="{00000002-1886-4D2E-BA3D-5AC8A2456944}"/>
            </c:ext>
          </c:extLst>
        </c:ser>
        <c:ser>
          <c:idx val="3"/>
          <c:order val="3"/>
          <c:tx>
            <c:strRef>
              <c:f>Sheet2!$E$19</c:f>
              <c:strCache>
                <c:ptCount val="1"/>
                <c:pt idx="0">
                  <c:v>Total</c:v>
                </c:pt>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Sheet2!$A$20:$A$25</c:f>
              <c:strCache>
                <c:ptCount val="6"/>
                <c:pt idx="0">
                  <c:v>Agriculture and food security</c:v>
                </c:pt>
                <c:pt idx="1">
                  <c:v>Infrastructure</c:v>
                </c:pt>
                <c:pt idx="2">
                  <c:v>Water and sanitation</c:v>
                </c:pt>
                <c:pt idx="3">
                  <c:v>Education</c:v>
                </c:pt>
                <c:pt idx="4">
                  <c:v>Health</c:v>
                </c:pt>
                <c:pt idx="5">
                  <c:v>Other</c:v>
                </c:pt>
              </c:strCache>
            </c:strRef>
          </c:cat>
          <c:val>
            <c:numRef>
              <c:f>Sheet2!$E$20:$E$25</c:f>
              <c:numCache>
                <c:formatCode>General</c:formatCode>
                <c:ptCount val="6"/>
                <c:pt idx="0">
                  <c:v>103</c:v>
                </c:pt>
                <c:pt idx="1">
                  <c:v>92</c:v>
                </c:pt>
                <c:pt idx="2">
                  <c:v>91</c:v>
                </c:pt>
                <c:pt idx="3">
                  <c:v>54</c:v>
                </c:pt>
                <c:pt idx="4">
                  <c:v>19</c:v>
                </c:pt>
                <c:pt idx="5">
                  <c:v>1</c:v>
                </c:pt>
              </c:numCache>
            </c:numRef>
          </c:val>
          <c:extLst>
            <c:ext xmlns:c16="http://schemas.microsoft.com/office/drawing/2014/chart" uri="{C3380CC4-5D6E-409C-BE32-E72D297353CC}">
              <c16:uniqueId val="{00000003-1886-4D2E-BA3D-5AC8A2456944}"/>
            </c:ext>
          </c:extLst>
        </c:ser>
        <c:dLbls>
          <c:showLegendKey val="0"/>
          <c:showVal val="0"/>
          <c:showCatName val="0"/>
          <c:showSerName val="0"/>
          <c:showPercent val="0"/>
          <c:showBubbleSize val="0"/>
        </c:dLbls>
        <c:gapWidth val="150"/>
        <c:overlap val="100"/>
        <c:axId val="162592000"/>
        <c:axId val="162593248"/>
      </c:barChart>
      <c:catAx>
        <c:axId val="162592000"/>
        <c:scaling>
          <c:orientation val="maxMin"/>
        </c:scaling>
        <c:delete val="0"/>
        <c:axPos val="l"/>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93248"/>
        <c:crosses val="autoZero"/>
        <c:auto val="1"/>
        <c:lblAlgn val="ctr"/>
        <c:lblOffset val="100"/>
        <c:noMultiLvlLbl val="0"/>
      </c:catAx>
      <c:valAx>
        <c:axId val="162593248"/>
        <c:scaling>
          <c:orientation val="minMax"/>
          <c:max val="120"/>
          <c:min val="0"/>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a:t>
                </a:r>
              </a:p>
            </c:rich>
          </c:tx>
          <c:layout>
            <c:manualLayout>
              <c:xMode val="edge"/>
              <c:yMode val="edge"/>
              <c:x val="0.84828277753895065"/>
              <c:y val="1.3412646036926211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592000"/>
        <c:crosses val="autoZero"/>
        <c:crossBetween val="between"/>
      </c:valAx>
      <c:spPr>
        <a:noFill/>
        <a:ln>
          <a:noFill/>
        </a:ln>
        <a:effectLst/>
      </c:spPr>
    </c:plotArea>
    <c:legend>
      <c:legendPos val="b"/>
      <c:legendEntry>
        <c:idx val="3"/>
        <c:delete val="1"/>
      </c:legendEntry>
      <c:layout>
        <c:manualLayout>
          <c:xMode val="edge"/>
          <c:yMode val="edge"/>
          <c:x val="0.25349783615971222"/>
          <c:y val="1.3412646036926211E-3"/>
          <c:w val="0.46526487807735417"/>
          <c:h val="6.10391410602951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2742545972838053"/>
          <c:y val="0.1596428528767499"/>
          <c:w val="0.53467200613280497"/>
          <c:h val="0.80062546820527147"/>
        </c:manualLayout>
      </c:layout>
      <c:barChart>
        <c:barDir val="bar"/>
        <c:grouping val="stacked"/>
        <c:varyColors val="0"/>
        <c:ser>
          <c:idx val="0"/>
          <c:order val="0"/>
          <c:tx>
            <c:strRef>
              <c:f>AfDB!$B$55</c:f>
              <c:strCache>
                <c:ptCount val="1"/>
                <c:pt idx="0">
                  <c:v>Loan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AfDB!$A$56:$A$60</c:f>
              <c:strCache>
                <c:ptCount val="5"/>
                <c:pt idx="0">
                  <c:v>Road Sector Support Project V</c:v>
                </c:pt>
                <c:pt idx="1">
                  <c:v>Farm Income Enhancement and Forestry Conservation Programme 2</c:v>
                </c:pt>
                <c:pt idx="2">
                  <c:v>Higher Education, Science and Technology Project</c:v>
                </c:pt>
                <c:pt idx="3">
                  <c:v>Water Supply and Sanitation Programme Phase 2</c:v>
                </c:pt>
                <c:pt idx="4">
                  <c:v>Second Markets and Agricultural Trade Improvement Programme </c:v>
                </c:pt>
              </c:strCache>
            </c:strRef>
          </c:cat>
          <c:val>
            <c:numRef>
              <c:f>AfDB!$B$56:$B$60</c:f>
              <c:numCache>
                <c:formatCode>0</c:formatCode>
                <c:ptCount val="5"/>
                <c:pt idx="0">
                  <c:v>36.099708629551969</c:v>
                </c:pt>
                <c:pt idx="1">
                  <c:v>44.330914315730915</c:v>
                </c:pt>
                <c:pt idx="2">
                  <c:v>54.233420046754929</c:v>
                </c:pt>
                <c:pt idx="3">
                  <c:v>54.784346756400005</c:v>
                </c:pt>
                <c:pt idx="4">
                  <c:v>56.685904108431934</c:v>
                </c:pt>
              </c:numCache>
            </c:numRef>
          </c:val>
          <c:extLst>
            <c:ext xmlns:c16="http://schemas.microsoft.com/office/drawing/2014/chart" uri="{C3380CC4-5D6E-409C-BE32-E72D297353CC}">
              <c16:uniqueId val="{00000005-A414-468D-A376-14134C1AFF21}"/>
            </c:ext>
          </c:extLst>
        </c:ser>
        <c:ser>
          <c:idx val="1"/>
          <c:order val="1"/>
          <c:tx>
            <c:strRef>
              <c:f>AfDB!$C$55</c:f>
              <c:strCache>
                <c:ptCount val="1"/>
                <c:pt idx="0">
                  <c:v>%</c:v>
                </c:pt>
              </c:strCache>
            </c:strRef>
          </c:tx>
          <c:spPr>
            <a:noFill/>
            <a:ln>
              <a:noFill/>
            </a:ln>
            <a:effectLst/>
          </c:spPr>
          <c:invertIfNegative val="0"/>
          <c:dLbls>
            <c:dLbl>
              <c:idx val="4"/>
              <c:tx>
                <c:rich>
                  <a:bodyPr/>
                  <a:lstStyle/>
                  <a:p>
                    <a:fld id="{0FCD4AEE-E017-4D72-A2A3-7FE1D2DC437A}" type="VALUE">
                      <a:rPr lang="en-US"/>
                      <a:pPr/>
                      <a:t>[VALUE]</a:t>
                    </a:fld>
                    <a:r>
                      <a:rPr lang="en-US"/>
                      <a:t> of</a:t>
                    </a:r>
                    <a:r>
                      <a:rPr lang="en-US" baseline="0"/>
                      <a:t> </a:t>
                    </a:r>
                    <a:br>
                      <a:rPr lang="en-US" baseline="0"/>
                    </a:br>
                    <a:r>
                      <a:rPr lang="en-US" baseline="0"/>
                      <a:t>the total</a:t>
                    </a:r>
                  </a:p>
                </c:rich>
              </c:tx>
              <c:dLblPos val="inBase"/>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A414-468D-A376-14134C1AFF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AfDB!$A$56:$A$60</c:f>
              <c:strCache>
                <c:ptCount val="5"/>
                <c:pt idx="0">
                  <c:v>Road Sector Support Project V</c:v>
                </c:pt>
                <c:pt idx="1">
                  <c:v>Farm Income Enhancement and Forestry Conservation Programme 2</c:v>
                </c:pt>
                <c:pt idx="2">
                  <c:v>Higher Education, Science and Technology Project</c:v>
                </c:pt>
                <c:pt idx="3">
                  <c:v>Water Supply and Sanitation Programme Phase 2</c:v>
                </c:pt>
                <c:pt idx="4">
                  <c:v>Second Markets and Agricultural Trade Improvement Programme </c:v>
                </c:pt>
              </c:strCache>
            </c:strRef>
          </c:cat>
          <c:val>
            <c:numRef>
              <c:f>AfDB!$C$56:$C$60</c:f>
              <c:numCache>
                <c:formatCode>0%</c:formatCode>
                <c:ptCount val="5"/>
                <c:pt idx="0">
                  <c:v>9.996289922321909E-2</c:v>
                </c:pt>
                <c:pt idx="1">
                  <c:v>0.12275574757932799</c:v>
                </c:pt>
                <c:pt idx="2">
                  <c:v>0.15017655566965601</c:v>
                </c:pt>
                <c:pt idx="3">
                  <c:v>0.15170211455216032</c:v>
                </c:pt>
                <c:pt idx="4">
                  <c:v>0.15696767466786526</c:v>
                </c:pt>
              </c:numCache>
            </c:numRef>
          </c:val>
          <c:extLst>
            <c:ext xmlns:c16="http://schemas.microsoft.com/office/drawing/2014/chart" uri="{C3380CC4-5D6E-409C-BE32-E72D297353CC}">
              <c16:uniqueId val="{0000000B-A414-468D-A376-14134C1AFF21}"/>
            </c:ext>
          </c:extLst>
        </c:ser>
        <c:dLbls>
          <c:showLegendKey val="0"/>
          <c:showVal val="0"/>
          <c:showCatName val="0"/>
          <c:showSerName val="0"/>
          <c:showPercent val="0"/>
          <c:showBubbleSize val="0"/>
        </c:dLbls>
        <c:gapWidth val="82"/>
        <c:overlap val="100"/>
        <c:axId val="996313600"/>
        <c:axId val="996311104"/>
      </c:barChart>
      <c:catAx>
        <c:axId val="996313600"/>
        <c:scaling>
          <c:orientation val="minMax"/>
        </c:scaling>
        <c:delete val="0"/>
        <c:axPos val="l"/>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11104"/>
        <c:crosses val="autoZero"/>
        <c:auto val="1"/>
        <c:lblAlgn val="ctr"/>
        <c:lblOffset val="100"/>
        <c:noMultiLvlLbl val="0"/>
      </c:catAx>
      <c:valAx>
        <c:axId val="996311104"/>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US$, million</a:t>
                </a:r>
              </a:p>
            </c:rich>
          </c:tx>
          <c:layout>
            <c:manualLayout>
              <c:xMode val="edge"/>
              <c:yMode val="edge"/>
              <c:x val="0.84793926354969085"/>
              <c:y val="4.0712934139046581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313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5487328789781"/>
          <c:y val="0.12508686587908269"/>
          <c:w val="0.75171846834653688"/>
          <c:h val="0.74551990938589241"/>
        </c:manualLayout>
      </c:layout>
      <c:barChart>
        <c:barDir val="col"/>
        <c:grouping val="clustered"/>
        <c:varyColors val="0"/>
        <c:ser>
          <c:idx val="0"/>
          <c:order val="0"/>
          <c:tx>
            <c:strRef>
              <c:f>'Public debt'!$E$14</c:f>
              <c:strCache>
                <c:ptCount val="1"/>
                <c:pt idx="0">
                  <c:v>Public debt</c:v>
                </c:pt>
              </c:strCache>
            </c:strRef>
          </c:tx>
          <c:spPr>
            <a:solidFill>
              <a:schemeClr val="accent1"/>
            </a:solidFill>
            <a:ln>
              <a:noFill/>
            </a:ln>
            <a:effectLst/>
          </c:spPr>
          <c:invertIfNegative val="0"/>
          <c:dLbls>
            <c:spPr>
              <a:solidFill>
                <a:schemeClr val="tx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'Public debt'!$D$15:$D$18</c:f>
              <c:numCache>
                <c:formatCode>General</c:formatCode>
                <c:ptCount val="4"/>
                <c:pt idx="0">
                  <c:v>2018</c:v>
                </c:pt>
                <c:pt idx="1">
                  <c:v>2019</c:v>
                </c:pt>
                <c:pt idx="2">
                  <c:v>2020</c:v>
                </c:pt>
                <c:pt idx="3">
                  <c:v>2021</c:v>
                </c:pt>
              </c:numCache>
            </c:numRef>
          </c:cat>
          <c:val>
            <c:numRef>
              <c:f>'Public debt'!$E$15:$E$18</c:f>
              <c:numCache>
                <c:formatCode>#,##0</c:formatCode>
                <c:ptCount val="4"/>
                <c:pt idx="0">
                  <c:v>42.288699999999999</c:v>
                </c:pt>
                <c:pt idx="1">
                  <c:v>49.055599999999998</c:v>
                </c:pt>
                <c:pt idx="2">
                  <c:v>61.6</c:v>
                </c:pt>
                <c:pt idx="3">
                  <c:v>72.673000000000002</c:v>
                </c:pt>
              </c:numCache>
            </c:numRef>
          </c:val>
          <c:extLst>
            <c:ext xmlns:c16="http://schemas.microsoft.com/office/drawing/2014/chart" uri="{C3380CC4-5D6E-409C-BE32-E72D297353CC}">
              <c16:uniqueId val="{00000000-BE6B-4F41-B8EA-3CCD0C85B63A}"/>
            </c:ext>
          </c:extLst>
        </c:ser>
        <c:dLbls>
          <c:showLegendKey val="0"/>
          <c:showVal val="0"/>
          <c:showCatName val="0"/>
          <c:showSerName val="0"/>
          <c:showPercent val="0"/>
          <c:showBubbleSize val="0"/>
        </c:dLbls>
        <c:gapWidth val="219"/>
        <c:overlap val="-27"/>
        <c:axId val="1054371280"/>
        <c:axId val="1054365456"/>
      </c:barChart>
      <c:lineChart>
        <c:grouping val="standard"/>
        <c:varyColors val="0"/>
        <c:ser>
          <c:idx val="1"/>
          <c:order val="1"/>
          <c:tx>
            <c:strRef>
              <c:f>'Public debt'!$F$14</c:f>
              <c:strCache>
                <c:ptCount val="1"/>
                <c:pt idx="0">
                  <c:v>Debt to GDP ratio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'Public debt'!$D$15:$D$18</c:f>
              <c:numCache>
                <c:formatCode>General</c:formatCode>
                <c:ptCount val="4"/>
                <c:pt idx="0">
                  <c:v>2018</c:v>
                </c:pt>
                <c:pt idx="1">
                  <c:v>2019</c:v>
                </c:pt>
                <c:pt idx="2">
                  <c:v>2020</c:v>
                </c:pt>
                <c:pt idx="3">
                  <c:v>2021</c:v>
                </c:pt>
              </c:numCache>
            </c:numRef>
          </c:cat>
          <c:val>
            <c:numRef>
              <c:f>'Public debt'!$F$15:$F$18</c:f>
              <c:numCache>
                <c:formatCode>0%</c:formatCode>
                <c:ptCount val="4"/>
                <c:pt idx="0">
                  <c:v>0.40899999999999997</c:v>
                </c:pt>
                <c:pt idx="1">
                  <c:v>0.41599999999999998</c:v>
                </c:pt>
                <c:pt idx="2">
                  <c:v>0.498</c:v>
                </c:pt>
                <c:pt idx="3">
                  <c:v>0.52800000000000002</c:v>
                </c:pt>
              </c:numCache>
            </c:numRef>
          </c:val>
          <c:smooth val="0"/>
          <c:extLst>
            <c:ext xmlns:c16="http://schemas.microsoft.com/office/drawing/2014/chart" uri="{C3380CC4-5D6E-409C-BE32-E72D297353CC}">
              <c16:uniqueId val="{00000001-BE6B-4F41-B8EA-3CCD0C85B63A}"/>
            </c:ext>
          </c:extLst>
        </c:ser>
        <c:dLbls>
          <c:showLegendKey val="0"/>
          <c:showVal val="0"/>
          <c:showCatName val="0"/>
          <c:showSerName val="0"/>
          <c:showPercent val="0"/>
          <c:showBubbleSize val="0"/>
        </c:dLbls>
        <c:marker val="1"/>
        <c:smooth val="0"/>
        <c:axId val="1054364208"/>
        <c:axId val="1054366704"/>
      </c:lineChart>
      <c:catAx>
        <c:axId val="1054371280"/>
        <c:scaling>
          <c:orientation val="minMax"/>
        </c:scaling>
        <c:delete val="0"/>
        <c:axPos val="b"/>
        <c:numFmt formatCode="General" sourceLinked="1"/>
        <c:majorTickMark val="none"/>
        <c:minorTickMark val="none"/>
        <c:tickLblPos val="nextTo"/>
        <c:spPr>
          <a:noFill/>
          <a:ln w="9525" cap="flat" cmpd="sng" algn="ctr">
            <a:solidFill>
              <a:schemeClr val="bg2"/>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365456"/>
        <c:crosses val="autoZero"/>
        <c:auto val="1"/>
        <c:lblAlgn val="ctr"/>
        <c:lblOffset val="100"/>
        <c:noMultiLvlLbl val="0"/>
      </c:catAx>
      <c:valAx>
        <c:axId val="105436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UGX, trillion</a:t>
                </a:r>
              </a:p>
            </c:rich>
          </c:tx>
          <c:layout>
            <c:manualLayout>
              <c:xMode val="edge"/>
              <c:yMode val="edge"/>
              <c:x val="0"/>
              <c:y val="3.6610434119640676E-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371280"/>
        <c:crosses val="autoZero"/>
        <c:crossBetween val="between"/>
        <c:majorUnit val="15"/>
      </c:valAx>
      <c:valAx>
        <c:axId val="105436670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Debt-to-GDP ratio</a:t>
                </a:r>
              </a:p>
            </c:rich>
          </c:tx>
          <c:layout>
            <c:manualLayout>
              <c:xMode val="edge"/>
              <c:yMode val="edge"/>
              <c:x val="0.96307613954672777"/>
              <c:y val="2.0858754712644919E-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364208"/>
        <c:crosses val="max"/>
        <c:crossBetween val="between"/>
      </c:valAx>
      <c:catAx>
        <c:axId val="1054364208"/>
        <c:scaling>
          <c:orientation val="minMax"/>
        </c:scaling>
        <c:delete val="1"/>
        <c:axPos val="b"/>
        <c:numFmt formatCode="General" sourceLinked="1"/>
        <c:majorTickMark val="none"/>
        <c:minorTickMark val="none"/>
        <c:tickLblPos val="nextTo"/>
        <c:crossAx val="1054366704"/>
        <c:crosses val="autoZero"/>
        <c:auto val="1"/>
        <c:lblAlgn val="ctr"/>
        <c:lblOffset val="100"/>
        <c:noMultiLvlLbl val="0"/>
      </c:catAx>
      <c:spPr>
        <a:noFill/>
        <a:ln>
          <a:noFill/>
        </a:ln>
        <a:effectLst/>
      </c:spPr>
    </c:plotArea>
    <c:legend>
      <c:legendPos val="b"/>
      <c:layout>
        <c:manualLayout>
          <c:xMode val="edge"/>
          <c:yMode val="edge"/>
          <c:x val="0.2653850086920953"/>
          <c:y val="4.1717509425290506E-3"/>
          <c:w val="0.49978766023231053"/>
          <c:h val="7.389171905978743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I pink monochrome colour theme">
  <a:themeElements>
    <a:clrScheme name="Custom 2">
      <a:dk1>
        <a:sysClr val="windowText" lastClr="000000"/>
      </a:dk1>
      <a:lt1>
        <a:sysClr val="window" lastClr="FFFFFF"/>
      </a:lt1>
      <a:dk2>
        <a:srgbClr val="C3105A"/>
      </a:dk2>
      <a:lt2>
        <a:srgbClr val="453F43"/>
      </a:lt2>
      <a:accent1>
        <a:srgbClr val="C3105A"/>
      </a:accent1>
      <a:accent2>
        <a:srgbClr val="F9CDD0"/>
      </a:accent2>
      <a:accent3>
        <a:srgbClr val="E4819C"/>
      </a:accent3>
      <a:accent4>
        <a:srgbClr val="D64379"/>
      </a:accent4>
      <a:accent5>
        <a:srgbClr val="7F1951"/>
      </a:accent5>
      <a:accent6>
        <a:srgbClr val="6B656A"/>
      </a:accent6>
      <a:hlink>
        <a:srgbClr val="C3105A"/>
      </a:hlink>
      <a:folHlink>
        <a:srgbClr val="6B656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7C925-EE02-4FD8-AAF7-4E240C1A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Briefing paper template</Template>
  <TotalTime>7</TotalTime>
  <Pages>28</Pages>
  <Words>5688</Words>
  <Characters>32422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Carver</dc:creator>
  <cp:keywords/>
  <dc:description/>
  <cp:lastModifiedBy>Georgina Carver</cp:lastModifiedBy>
  <cp:revision>2</cp:revision>
  <cp:lastPrinted>2022-03-04T16:38:00Z</cp:lastPrinted>
  <dcterms:created xsi:type="dcterms:W3CDTF">2022-03-22T12:11:00Z</dcterms:created>
  <dcterms:modified xsi:type="dcterms:W3CDTF">2022-03-22T12:11:00Z</dcterms:modified>
</cp:coreProperties>
</file>