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采购与合同管理办法（示例）</w:t>
      </w:r>
    </w:p>
    <w:p>
      <w:r>
        <w:t>本文件为开源项目演示而虚构，不对应任何真实组织、制度或供应商</w:t>
      </w:r>
    </w:p>
    <w:p>
      <w:r>
        <w:t>版本 v1.0　发布 2026-03-01　文档编号 DEMO-PROC-001</w:t>
      </w:r>
    </w:p>
    <w:p>
      <w:pPr>
        <w:pStyle w:val="Heading1"/>
      </w:pPr>
      <w:r>
        <w:t>第一章 总则</w:t>
      </w:r>
    </w:p>
    <w:p>
      <w:r>
        <w:rPr>
          <w:b/>
        </w:rPr>
        <w:t>第一条　目的与适用范围</w:t>
      </w:r>
    </w:p>
    <w:p>
      <w:r>
        <w:t>本办法适用于示例组织总部及各分支机构开展的全部采购活动，包括货物采购、工程采购和服务采购。</w:t>
      </w:r>
    </w:p>
    <w:p>
      <w:r>
        <w:rPr>
          <w:b/>
        </w:rPr>
        <w:t>第二条　定义</w:t>
      </w:r>
    </w:p>
    <w:p>
      <w:r>
        <w:t>本办法所称采购，是指以合同方式有偿取得货物、工程和服务的行为；所称供应商，是指通过准入评审并签订框架协议的法人或其他组织。</w:t>
      </w:r>
    </w:p>
    <w:p>
      <w:r>
        <w:rPr>
          <w:b/>
        </w:rPr>
        <w:t>第三条　职责分工</w:t>
      </w:r>
    </w:p>
    <w:p>
      <w:r>
        <w:t>采购部门负责供应商准入与询比价，财务部门负责预算控制与付款，使用部门负责需求提出与验收。</w:t>
      </w:r>
    </w:p>
    <w:p>
      <w:r>
        <w:rPr>
          <w:b/>
        </w:rPr>
        <w:t>第四条　基本原则</w:t>
      </w:r>
    </w:p>
    <w:p>
      <w:r>
        <w:t>采购活动应当遵循公开、公平、可追溯的原则；同一采购事项不得拆分以规避审批权限。</w:t>
      </w:r>
    </w:p>
    <w:p>
      <w:pPr>
        <w:pStyle w:val="Heading1"/>
      </w:pPr>
      <w:r>
        <w:t>第二章 供应商准入与评估</w:t>
      </w:r>
    </w:p>
    <w:p>
      <w:r>
        <w:rPr>
          <w:b/>
        </w:rPr>
        <w:t>第五条　准入材料</w:t>
      </w:r>
    </w:p>
    <w:p>
      <w:r>
        <w:t>供应商申请准入应当提交营业执照、近两年审计报告、同类项目业绩清单、无重大违法记录承诺书和廉洁承诺书。</w:t>
      </w:r>
    </w:p>
    <w:p>
      <w:r>
        <w:rPr>
          <w:b/>
        </w:rPr>
        <w:t>第六条　分级管理</w:t>
      </w:r>
    </w:p>
    <w:p>
      <w:r>
        <w:t>供应商按年度采购金额与合作年限分为 A、B、C 三级；A 级供应商应当保持不少于三家备选。</w:t>
      </w:r>
    </w:p>
    <w:p>
      <w:r>
        <w:rPr>
          <w:b/>
        </w:rPr>
        <w:t>第七条　复评周期</w:t>
      </w:r>
    </w:p>
    <w:p>
      <w:r>
        <w:t>A 级供应商每年复评一次，B 级供应商每两年复评一次，C 级供应商每三年复评一次；复评不合格的作降级处理。</w:t>
      </w:r>
    </w:p>
    <w:p>
      <w:r>
        <w:rPr>
          <w:b/>
        </w:rPr>
        <w:t>第八条　暂停合作</w:t>
      </w:r>
    </w:p>
    <w:p>
      <w:r>
        <w:t>出现围标串标、提供虚假材料、连续两次交付延期超过十五日等情形的，暂停合作资格不少于六个月。</w:t>
      </w:r>
    </w:p>
    <w:p>
      <w:r>
        <w:rPr>
          <w:b/>
        </w:rPr>
        <w:t>第九条　退出机制</w:t>
      </w:r>
    </w:p>
    <w:p>
      <w:r>
        <w:t>连续两次复评不合格或者被列入失信名单的供应商，终止框架协议并且三年内不再准入。</w:t>
      </w:r>
    </w:p>
    <w:p>
      <w:pPr>
        <w:pStyle w:val="Heading1"/>
      </w:pPr>
      <w:r>
        <w:t>第三章 采购申请与审批</w:t>
      </w:r>
    </w:p>
    <w:p>
      <w:r>
        <w:rPr>
          <w:b/>
        </w:rPr>
        <w:t>第十条　申请内容</w:t>
      </w:r>
    </w:p>
    <w:p>
      <w:r>
        <w:t>使用部门在系统中提交采购申请，注明用途、预算科目、预计金额和交付时间。</w:t>
      </w:r>
    </w:p>
    <w:p>
      <w:r>
        <w:rPr>
          <w:b/>
        </w:rPr>
        <w:t>第十一条　预算约束</w:t>
      </w:r>
    </w:p>
    <w:p>
      <w:r>
        <w:t>无预算或者超预算的采购申请，应当先履行预算调整程序；未完成调整的不得进入审批环节。</w:t>
      </w:r>
    </w:p>
    <w:p>
      <w:r>
        <w:rPr>
          <w:b/>
        </w:rPr>
        <w:t>第十二条　单一来源</w:t>
      </w:r>
    </w:p>
    <w:p>
      <w:r>
        <w:t>只能从唯一供应商处采购、发生不可预见的紧急情况、需要保持技术一致性的，可以采用单一来源方式，但应当附情况说明并经分管负责人批准。</w:t>
      </w:r>
    </w:p>
    <w:p>
      <w:r>
        <w:rPr>
          <w:b/>
        </w:rPr>
        <w:t>第十三条　紧急采购</w:t>
      </w:r>
    </w:p>
    <w:p>
      <w:r>
        <w:t>因生产安全事故、重大设备故障等紧急情况可以先行采购，但应当在五个工作日内补办审批手续。</w:t>
      </w:r>
    </w:p>
    <w:p>
      <w:r>
        <w:rPr>
          <w:b/>
        </w:rPr>
        <w:t>第十四条　拆分禁止</w:t>
      </w:r>
    </w:p>
    <w:p>
      <w:r>
        <w:t>同一采购事项在一个自然年度内多次采购，累计金额达到下一档权限的，按累计金额确定审批层级。</w:t>
      </w:r>
    </w:p>
    <w:p>
      <w:pPr>
        <w:pStyle w:val="Heading2"/>
      </w:pPr>
      <w:r>
        <w:t>审批权限矩阵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金额区间</w:t>
            </w:r>
          </w:p>
        </w:tc>
        <w:tc>
          <w:tcPr>
            <w:tcW w:type="dxa" w:w="2160"/>
          </w:tcPr>
          <w:p>
            <w:r>
              <w:t>审批人</w:t>
            </w:r>
          </w:p>
        </w:tc>
        <w:tc>
          <w:tcPr>
            <w:tcW w:type="dxa" w:w="2160"/>
          </w:tcPr>
          <w:p>
            <w:r>
              <w:t>是否集体决策</w:t>
            </w:r>
          </w:p>
        </w:tc>
        <w:tc>
          <w:tcPr>
            <w:tcW w:type="dxa" w:w="2160"/>
          </w:tcPr>
          <w:p>
            <w:r>
              <w:t>附加要求</w:t>
            </w:r>
          </w:p>
        </w:tc>
      </w:tr>
      <w:tr>
        <w:tc>
          <w:tcPr>
            <w:tcW w:type="dxa" w:w="2160"/>
          </w:tcPr>
          <w:p>
            <w:r>
              <w:t>50 万元以下</w:t>
            </w:r>
          </w:p>
        </w:tc>
        <w:tc>
          <w:tcPr>
            <w:tcW w:type="dxa" w:w="2160"/>
          </w:tcPr>
          <w:p>
            <w:r>
              <w:t>部门负责人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至少两家报价</w:t>
            </w:r>
          </w:p>
        </w:tc>
      </w:tr>
      <w:tr>
        <w:tc>
          <w:tcPr>
            <w:tcW w:type="dxa" w:w="2160"/>
          </w:tcPr>
          <w:p>
            <w:r>
              <w:t>50 万元至 200 万元</w:t>
            </w:r>
          </w:p>
        </w:tc>
        <w:tc>
          <w:tcPr>
            <w:tcW w:type="dxa" w:w="2160"/>
          </w:tcPr>
          <w:p>
            <w:r>
              <w:t>分管负责人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至少三家报价</w:t>
            </w:r>
          </w:p>
        </w:tc>
      </w:tr>
      <w:tr>
        <w:tc>
          <w:tcPr>
            <w:tcW w:type="dxa" w:w="2160"/>
          </w:tcPr>
          <w:p>
            <w:r>
              <w:t>200 万元至 500 万元</w:t>
            </w:r>
          </w:p>
        </w:tc>
        <w:tc>
          <w:tcPr>
            <w:tcW w:type="dxa" w:w="2160"/>
          </w:tcPr>
          <w:p>
            <w:r>
              <w:t>总经理</w:t>
            </w:r>
          </w:p>
        </w:tc>
        <w:tc>
          <w:tcPr>
            <w:tcW w:type="dxa" w:w="2160"/>
          </w:tcPr>
          <w:p>
            <w:r>
              <w:t>是（采购决策会）</w:t>
            </w:r>
          </w:p>
        </w:tc>
        <w:tc>
          <w:tcPr>
            <w:tcW w:type="dxa" w:w="2160"/>
          </w:tcPr>
          <w:p>
            <w:r>
              <w:t>需法务出具意见</w:t>
            </w:r>
          </w:p>
        </w:tc>
      </w:tr>
      <w:tr>
        <w:tc>
          <w:tcPr>
            <w:tcW w:type="dxa" w:w="2160"/>
          </w:tcPr>
          <w:p>
            <w:r>
              <w:t>500 万元以上</w:t>
            </w:r>
          </w:p>
        </w:tc>
        <w:tc>
          <w:tcPr>
            <w:tcW w:type="dxa" w:w="2160"/>
          </w:tcPr>
          <w:p>
            <w:r>
              <w:t>董事会</w:t>
            </w:r>
          </w:p>
        </w:tc>
        <w:tc>
          <w:tcPr>
            <w:tcW w:type="dxa" w:w="2160"/>
          </w:tcPr>
          <w:p>
            <w:r>
              <w:t>是（董事会决议）</w:t>
            </w:r>
          </w:p>
        </w:tc>
        <w:tc>
          <w:tcPr>
            <w:tcW w:type="dxa" w:w="2160"/>
          </w:tcPr>
          <w:p>
            <w:r>
              <w:t>需第三方评估报告</w:t>
            </w:r>
          </w:p>
        </w:tc>
      </w:tr>
    </w:tbl>
    <w:p>
      <w:pPr>
        <w:pStyle w:val="Heading1"/>
      </w:pPr>
      <w:r>
        <w:t>第四章 发票校验与付款</w:t>
      </w:r>
    </w:p>
    <w:p>
      <w:r>
        <w:rPr>
          <w:b/>
        </w:rPr>
        <w:t>第十六条　三单匹配</w:t>
      </w:r>
    </w:p>
    <w:p>
      <w:r>
        <w:t>发票到达后五个工作日内完成三单匹配，即采购申请、验收单与发票三者一致；不一致的退回供应商重开。</w:t>
      </w:r>
    </w:p>
    <w:p>
      <w:r>
        <w:rPr>
          <w:b/>
        </w:rPr>
        <w:t>第十七条　付款账期</w:t>
      </w:r>
    </w:p>
    <w:p>
      <w:r>
        <w:t>验收合格并完成发票校验后三十日内付款；框架协议另有约定的从其约定，但最长不超过六十日。</w:t>
      </w:r>
    </w:p>
    <w:p>
      <w:r>
        <w:rPr>
          <w:b/>
        </w:rPr>
        <w:t>第十八条　质保金</w:t>
      </w:r>
    </w:p>
    <w:p>
      <w:r>
        <w:t>合同金额一百万元以上的，预留百分之五作为质保金；质保期满且无质量问题的，三十日内退还。</w:t>
      </w:r>
    </w:p>
    <w:p>
      <w:r>
        <w:rPr>
          <w:b/>
        </w:rPr>
        <w:t>第十九条　预付款</w:t>
      </w:r>
    </w:p>
    <w:p>
      <w:r>
        <w:t>原则上不支付预付款；确需支付的，预付比例不得超过合同金额的百分之二十，并要求供应商提供等额保函。</w:t>
      </w:r>
    </w:p>
    <w:p>
      <w:pPr>
        <w:pStyle w:val="Heading1"/>
      </w:pPr>
      <w:r>
        <w:t>第五章 档案与监督</w:t>
      </w:r>
    </w:p>
    <w:p>
      <w:r>
        <w:rPr>
          <w:b/>
        </w:rPr>
        <w:t>第二十条　档案保存</w:t>
      </w:r>
    </w:p>
    <w:p>
      <w:r>
        <w:t>采购档案自合同履行完毕之日起保存十年，包含申请单、审批记录、比价记录、合同、验收单和付款凭证。</w:t>
      </w:r>
    </w:p>
    <w:p>
      <w:r>
        <w:rPr>
          <w:b/>
        </w:rPr>
        <w:t>第二十一条　采购台账</w:t>
      </w:r>
    </w:p>
    <w:p>
      <w:r>
        <w:t>采购部门按月编制采购台账，报财务部门核对预算执行情况。</w:t>
      </w:r>
    </w:p>
    <w:p>
      <w:r>
        <w:rPr>
          <w:b/>
        </w:rPr>
        <w:t>第二十二条　审计抽查</w:t>
      </w:r>
    </w:p>
    <w:p>
      <w:r>
        <w:t>内部审计部门每年对采购事项抽查不少于百分之二十，重点检查拆分采购与单一来源情形。</w:t>
      </w:r>
    </w:p>
    <w:p>
      <w:r>
        <w:rPr>
          <w:b/>
        </w:rPr>
        <w:t>第二十三条　违规处理</w:t>
      </w:r>
    </w:p>
    <w:p>
      <w:r>
        <w:t>违反本办法的责任人视情节给予通报、调离岗位或者移送处理；造成损失的依法追偿。</w:t>
      </w:r>
    </w:p>
    <w:p>
      <w:pPr>
        <w:pStyle w:val="Heading1"/>
      </w:pPr>
      <w:r>
        <w:t>附则</w:t>
      </w:r>
    </w:p>
    <w:p>
      <w:r>
        <w:rPr>
          <w:b/>
        </w:rPr>
        <w:t>第二十四条　争议解决</w:t>
      </w:r>
    </w:p>
    <w:p>
      <w:r>
        <w:t>因采购合同发生争议的，应当先行协商；协商不成的，提交合同约定的仲裁机构仲裁。</w:t>
      </w:r>
    </w:p>
    <w:p>
      <w:r>
        <w:rPr>
          <w:b/>
        </w:rPr>
        <w:t>第二十五条　生效日期</w:t>
      </w:r>
    </w:p>
    <w:p>
      <w:r>
        <w:t>本办法自 2026 年 3 月 1 日起施行，由采购部门负责解释。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