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pPr>
      <w:r>
        <w:rPr>
          <w:b/>
          <w:bCs/>
          <w:color w:val="176F73"/>
          <w:spacing w:val="120"/>
          <w:sz w:val="18"/>
          <w:szCs w:val="18"/>
        </w:rPr>
        <w:t xml:space="preserve">ROUNDTABLE GROWTH PARTNERS</w:t>
      </w:r>
    </w:p>
    <w:p>
      <w:pPr>
        <w:pStyle w:val="Heading1"/>
        <w:spacing w:after="240" w:before="0"/>
      </w:pPr>
      <w:r>
        <w:rPr>
          <w:rFonts w:ascii="Georgia" w:cs="Georgia" w:eastAsia="Georgia" w:hAnsi="Georgia"/>
          <w:b/>
          <w:bCs/>
          <w:color w:val="24313A"/>
          <w:sz w:val="52"/>
          <w:szCs w:val="52"/>
        </w:rPr>
        <w:t xml:space="preserve">Growth Playbook</w:t>
      </w:r>
    </w:p>
    <w:p>
      <w:pPr>
        <w:pBdr>
          <w:bottom w:val="single" w:color="176F73" w:sz="8"/>
        </w:pBdr>
        <w:spacing w:after="80" w:before="0"/>
      </w:pPr>
      <w:r>
        <w:t xml:space="preserve"/>
      </w:r>
    </w:p>
    <w:p>
      <w:pPr>
        <w:spacing w:after="0" w:before="160"/>
      </w:pPr>
      <w:r>
        <w:t xml:space="preserve"/>
      </w:r>
    </w:p>
    <w:p>
      <w:pPr>
        <w:spacing w:after="120" w:before="80"/>
      </w:pPr>
      <w:r>
        <w:rPr>
          <w:color w:val="5B6B75"/>
          <w:sz w:val="20"/>
          <w:szCs w:val="20"/>
        </w:rPr>
        <w:t xml:space="preserve">A structured guide to how Roundtable Growth Partners identifies, tests, and scales the next revenue opportunity — across organic testing, partnerships, and acquisitions.</w:t>
      </w:r>
    </w:p>
    <w:p>
      <w:pPr>
        <w:spacing w:after="0" w:before="80"/>
      </w:pPr>
      <w:r>
        <w:t xml:space="preserve"/>
      </w:r>
    </w:p>
    <w:p>
      <w:pPr>
        <w:spacing w:after="120" w:before="80"/>
      </w:pPr>
      <w:r>
        <w:rPr>
          <w:i/>
          <w:iCs/>
          <w:color w:val="5B6B75"/>
          <w:sz w:val="17"/>
          <w:szCs w:val="17"/>
        </w:rPr>
        <w:t xml:space="preserve">Version 1.0  ·  October 2026  ·  Confidential</w:t>
      </w:r>
    </w:p>
    <w:p>
      <w:r>
        <w:br w:type="page"/>
      </w:r>
    </w:p>
    <w:p>
      <w:pPr>
        <w:spacing w:after="80" w:before="400"/>
      </w:pPr>
      <w:r>
        <w:rPr>
          <w:b/>
          <w:bCs/>
          <w:color w:val="176F73"/>
          <w:spacing w:val="100"/>
          <w:sz w:val="16"/>
          <w:szCs w:val="16"/>
        </w:rPr>
        <w:t xml:space="preserve">SECTION 1</w:t>
      </w:r>
    </w:p>
    <w:p>
      <w:pPr>
        <w:pStyle w:val="Heading2"/>
        <w:spacing w:after="80" w:before="360"/>
      </w:pPr>
      <w:r>
        <w:rPr>
          <w:b/>
          <w:bCs/>
          <w:color w:val="24313A"/>
          <w:sz w:val="28"/>
          <w:szCs w:val="28"/>
        </w:rPr>
        <w:t xml:space="preserve">What Is Roundtable Growth Partners</w:t>
      </w:r>
    </w:p>
    <w:p>
      <w:pPr>
        <w:pBdr>
          <w:bottom w:val="single" w:color="DCE3E6" w:sz="6" w:space="1"/>
        </w:pBdr>
        <w:spacing w:after="160" w:before="0"/>
      </w:pPr>
      <w:r>
        <w:t xml:space="preserve"/>
      </w:r>
    </w:p>
    <w:p>
      <w:pPr>
        <w:spacing w:after="120" w:before="80"/>
      </w:pPr>
      <w:r>
        <w:rPr>
          <w:color w:val="5B6B75"/>
          <w:sz w:val="20"/>
          <w:szCs w:val="20"/>
        </w:rPr>
        <w:t xml:space="preserve">Roundtable Growth Partners (RGP) is a focused growth operator. We sit alongside founders and operators at the moment they are ready to move from one revenue plateau to the next — and we stay until the system that drives that growth is theirs to run.</w:t>
      </w:r>
    </w:p>
    <w:p>
      <w:pPr>
        <w:spacing w:after="120" w:before="80"/>
      </w:pPr>
      <w:r>
        <w:rPr>
          <w:color w:val="5B6B75"/>
          <w:sz w:val="20"/>
          <w:szCs w:val="20"/>
        </w:rPr>
        <w:t xml:space="preserve">We are not a strategy consultancy. We do not hand over a deck. We build the funnel, score the partners, model the tuck-in, and run the first tests alongside your team. The growth system becomes embedded in the business, not dependent on us.</w:t>
      </w:r>
    </w:p>
    <w:p>
      <w:pPr>
        <w:spacing w:after="0" w:before="120"/>
      </w:pPr>
      <w:r>
        <w:t xml:space="preserve"/>
      </w:r>
    </w:p>
    <w:p>
      <w:pPr>
        <w:pStyle w:val="Heading3"/>
        <w:spacing w:after="60" w:before="280"/>
      </w:pPr>
      <w:r>
        <w:rPr>
          <w:b/>
          <w:bCs/>
          <w:color w:val="176F73"/>
          <w:sz w:val="22"/>
          <w:szCs w:val="22"/>
        </w:rPr>
        <w:t xml:space="preserve">The Problem We Solve</w:t>
      </w:r>
    </w:p>
    <w:p>
      <w:pPr>
        <w:spacing w:after="120" w:before="80"/>
      </w:pPr>
      <w:r>
        <w:rPr>
          <w:color w:val="5B6B75"/>
          <w:sz w:val="20"/>
          <w:szCs w:val="20"/>
        </w:rPr>
        <w:t xml:space="preserve">Most growth stalls for one of three reasons:</w:t>
      </w:r>
    </w:p>
    <w:p>
      <w:pPr>
        <w:pStyle w:val="ListParagraph"/>
        <w:numPr>
          <w:ilvl w:val="0"/>
          <w:numId w:val="2"/>
        </w:numPr>
        <w:spacing w:after="60" w:before="60"/>
      </w:pPr>
      <w:r>
        <w:rPr>
          <w:color w:val="5B6B75"/>
          <w:sz w:val="20"/>
          <w:szCs w:val="20"/>
        </w:rPr>
        <w:t xml:space="preserve">There is no shared language for what is actually working — traction runs on instinct, not evidence.</w:t>
      </w:r>
    </w:p>
    <w:p>
      <w:pPr>
        <w:pStyle w:val="ListParagraph"/>
        <w:numPr>
          <w:ilvl w:val="0"/>
          <w:numId w:val="2"/>
        </w:numPr>
        <w:spacing w:after="60" w:before="60"/>
      </w:pPr>
      <w:r>
        <w:rPr>
          <w:color w:val="5B6B75"/>
          <w:sz w:val="20"/>
          <w:szCs w:val="20"/>
        </w:rPr>
        <w:t xml:space="preserve">Opportunities are evaluated on attractiveness, not sequence — the flashy option crowds out the right next step.</w:t>
      </w:r>
    </w:p>
    <w:p>
      <w:pPr>
        <w:pStyle w:val="ListParagraph"/>
        <w:numPr>
          <w:ilvl w:val="0"/>
          <w:numId w:val="2"/>
        </w:numPr>
        <w:spacing w:after="60" w:before="60"/>
      </w:pPr>
      <w:r>
        <w:rPr>
          <w:color w:val="5B6B75"/>
          <w:sz w:val="20"/>
          <w:szCs w:val="20"/>
        </w:rPr>
        <w:t xml:space="preserve">The person accountable for growth is also accountable for everything else.</w:t>
      </w:r>
    </w:p>
    <w:p>
      <w:pPr>
        <w:spacing w:after="0" w:before="80"/>
      </w:pPr>
      <w:r>
        <w:t xml:space="preserve"/>
      </w:r>
    </w:p>
    <w:p>
      <w:pPr>
        <w:spacing w:after="120" w:before="80"/>
      </w:pPr>
      <w:r>
        <w:rPr>
          <w:color w:val="5B6B75"/>
          <w:sz w:val="20"/>
          <w:szCs w:val="20"/>
        </w:rPr>
        <w:t xml:space="preserve">RGP addresses all three. We bring structure, sequencing, and a single accountable operator.</w:t>
      </w:r>
    </w:p>
    <w:p>
      <w:pPr>
        <w:spacing w:after="0" w:before="120"/>
      </w:pPr>
      <w:r>
        <w:t xml:space="preserve"/>
      </w:r>
    </w:p>
    <w:p>
      <w:pPr>
        <w:pStyle w:val="Heading3"/>
        <w:spacing w:after="60" w:before="280"/>
      </w:pPr>
      <w:r>
        <w:rPr>
          <w:b/>
          <w:bCs/>
          <w:color w:val="176F73"/>
          <w:sz w:val="22"/>
          <w:szCs w:val="22"/>
        </w:rPr>
        <w:t xml:space="preserve">What We Are Not</w:t>
      </w:r>
    </w:p>
    <w:p>
      <w:pPr>
        <w:pStyle w:val="ListParagraph"/>
        <w:numPr>
          <w:ilvl w:val="0"/>
          <w:numId w:val="2"/>
        </w:numPr>
        <w:spacing w:after="60" w:before="60"/>
      </w:pPr>
      <w:r>
        <w:rPr>
          <w:color w:val="5B6B75"/>
          <w:sz w:val="20"/>
          <w:szCs w:val="20"/>
        </w:rPr>
        <w:t xml:space="preserve">A marketing agency (we do not run ads on retainer)</w:t>
      </w:r>
    </w:p>
    <w:p>
      <w:pPr>
        <w:pStyle w:val="ListParagraph"/>
        <w:numPr>
          <w:ilvl w:val="0"/>
          <w:numId w:val="2"/>
        </w:numPr>
        <w:spacing w:after="60" w:before="60"/>
      </w:pPr>
      <w:r>
        <w:rPr>
          <w:color w:val="5B6B75"/>
          <w:sz w:val="20"/>
          <w:szCs w:val="20"/>
        </w:rPr>
        <w:t xml:space="preserve">An M&amp;A advisor (we do not earn on transaction close)</w:t>
      </w:r>
    </w:p>
    <w:p>
      <w:pPr>
        <w:pStyle w:val="ListParagraph"/>
        <w:numPr>
          <w:ilvl w:val="0"/>
          <w:numId w:val="2"/>
        </w:numPr>
        <w:spacing w:after="60" w:before="60"/>
      </w:pPr>
      <w:r>
        <w:rPr>
          <w:color w:val="5B6B75"/>
          <w:sz w:val="20"/>
          <w:szCs w:val="20"/>
        </w:rPr>
        <w:t xml:space="preserve">A fractional CMO service (we own outcomes, not a job title)</w:t>
      </w:r>
    </w:p>
    <w:p>
      <w:pPr>
        <w:pStyle w:val="ListParagraph"/>
        <w:numPr>
          <w:ilvl w:val="0"/>
          <w:numId w:val="2"/>
        </w:numPr>
        <w:spacing w:after="60" w:before="60"/>
      </w:pPr>
      <w:r>
        <w:rPr>
          <w:color w:val="5B6B75"/>
          <w:sz w:val="20"/>
          <w:szCs w:val="20"/>
        </w:rPr>
        <w:t xml:space="preserve">A software product (we are operators, not a platform)</w:t>
      </w:r>
    </w:p>
    <w:p>
      <w:r>
        <w:br w:type="page"/>
      </w:r>
    </w:p>
    <w:p>
      <w:pPr>
        <w:spacing w:after="80" w:before="400"/>
      </w:pPr>
      <w:r>
        <w:rPr>
          <w:b/>
          <w:bCs/>
          <w:color w:val="176F73"/>
          <w:spacing w:val="100"/>
          <w:sz w:val="16"/>
          <w:szCs w:val="16"/>
        </w:rPr>
        <w:t xml:space="preserve">SECTION 2</w:t>
      </w:r>
    </w:p>
    <w:p>
      <w:pPr>
        <w:pStyle w:val="Heading2"/>
        <w:spacing w:after="80" w:before="360"/>
      </w:pPr>
      <w:r>
        <w:rPr>
          <w:b/>
          <w:bCs/>
          <w:color w:val="24313A"/>
          <w:sz w:val="28"/>
          <w:szCs w:val="28"/>
        </w:rPr>
        <w:t xml:space="preserve">The Three-Pillar Framework</w:t>
      </w:r>
    </w:p>
    <w:p>
      <w:pPr>
        <w:pBdr>
          <w:bottom w:val="single" w:color="DCE3E6" w:sz="6" w:space="1"/>
        </w:pBdr>
        <w:spacing w:after="160" w:before="0"/>
      </w:pPr>
      <w:r>
        <w:t xml:space="preserve"/>
      </w:r>
    </w:p>
    <w:p>
      <w:pPr>
        <w:spacing w:after="120" w:before="80"/>
      </w:pPr>
      <w:r>
        <w:rPr>
          <w:color w:val="5B6B75"/>
          <w:sz w:val="20"/>
          <w:szCs w:val="20"/>
        </w:rPr>
        <w:t xml:space="preserve">Every RGP engagement is organized around three growth levers. They are not applied in sequence — the right starting point depends on where the business is and what the evidence says is blocking growth.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F73" w:sz="12"/>
              <w:left w:val="single" w:color="DCE3E6" w:sz="4"/>
              <w:bottom w:val="single" w:color="DCE3E6" w:sz="4"/>
              <w:right w:val="single" w:color="DCE3E6" w:sz="4"/>
            </w:tcBorders>
            <w:shd w:fill="EBF5F5" w:color="auto" w:val="clear"/>
            <w:tcMar>
              <w:top w:type="dxa" w:w="120"/>
              <w:left w:type="dxa" w:w="180"/>
              <w:bottom w:type="dxa" w:w="120"/>
              <w:right w:type="dxa" w:w="180"/>
            </w:tcMar>
          </w:tcPr>
          <w:p>
            <w:pPr>
              <w:spacing w:after="60" w:before="0"/>
            </w:pPr>
            <w:r>
              <w:rPr>
                <w:b/>
                <w:bCs/>
                <w:color w:val="176F73"/>
                <w:sz w:val="20"/>
                <w:szCs w:val="20"/>
              </w:rPr>
              <w:t xml:space="preserve">Pillar 1 — Organic Testing &amp; Piloting</w:t>
            </w:r>
          </w:p>
          <w:p>
            <w:pPr>
              <w:spacing w:after="0" w:before="0"/>
            </w:pPr>
            <w:r>
              <w:rPr>
                <w:color w:val="24313A"/>
                <w:sz w:val="19"/>
                <w:szCs w:val="19"/>
              </w:rPr>
              <w:t xml:space="preserve">Turn instinct into a replicable system. Define what you are testing, at what volume, and what a result means before you run anything.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F73" w:sz="12"/>
              <w:left w:val="single" w:color="DCE3E6" w:sz="4"/>
              <w:bottom w:val="single" w:color="DCE3E6" w:sz="4"/>
              <w:right w:val="single" w:color="DCE3E6" w:sz="4"/>
            </w:tcBorders>
            <w:shd w:fill="EBF5F5" w:color="auto" w:val="clear"/>
            <w:tcMar>
              <w:top w:type="dxa" w:w="120"/>
              <w:left w:type="dxa" w:w="180"/>
              <w:bottom w:type="dxa" w:w="120"/>
              <w:right w:type="dxa" w:w="180"/>
            </w:tcMar>
          </w:tcPr>
          <w:p>
            <w:pPr>
              <w:spacing w:after="60" w:before="0"/>
            </w:pPr>
            <w:r>
              <w:rPr>
                <w:b/>
                <w:bCs/>
                <w:color w:val="176F73"/>
                <w:sz w:val="20"/>
                <w:szCs w:val="20"/>
              </w:rPr>
              <w:t xml:space="preserve">Pillar 2 — Partnerships</w:t>
            </w:r>
          </w:p>
          <w:p>
            <w:pPr>
              <w:spacing w:after="0" w:before="0"/>
            </w:pPr>
            <w:r>
              <w:rPr>
                <w:color w:val="24313A"/>
                <w:sz w:val="19"/>
                <w:szCs w:val="19"/>
              </w:rPr>
              <w:t xml:space="preserve">Find, score, and sequence the partners who extend your distribution without diluting your economics.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F73" w:sz="12"/>
              <w:left w:val="single" w:color="DCE3E6" w:sz="4"/>
              <w:bottom w:val="single" w:color="DCE3E6" w:sz="4"/>
              <w:right w:val="single" w:color="DCE3E6" w:sz="4"/>
            </w:tcBorders>
            <w:shd w:fill="EBF5F5" w:color="auto" w:val="clear"/>
            <w:tcMar>
              <w:top w:type="dxa" w:w="120"/>
              <w:left w:type="dxa" w:w="180"/>
              <w:bottom w:type="dxa" w:w="120"/>
              <w:right w:type="dxa" w:w="180"/>
            </w:tcMar>
          </w:tcPr>
          <w:p>
            <w:pPr>
              <w:spacing w:after="60" w:before="0"/>
            </w:pPr>
            <w:r>
              <w:rPr>
                <w:b/>
                <w:bCs/>
                <w:color w:val="176F73"/>
                <w:sz w:val="20"/>
                <w:szCs w:val="20"/>
              </w:rPr>
              <w:t xml:space="preserve">Pillar 3 — Acquisitions &amp; Tuck-ins</w:t>
            </w:r>
          </w:p>
          <w:p>
            <w:pPr>
              <w:spacing w:after="0" w:before="0"/>
            </w:pPr>
            <w:r>
              <w:rPr>
                <w:color w:val="24313A"/>
                <w:sz w:val="19"/>
                <w:szCs w:val="19"/>
              </w:rPr>
              <w:t xml:space="preserve">Identify bolt-on targets that accelerate the growth system already in place, rather than adding complexity the business is not ready for.</w:t>
            </w:r>
          </w:p>
        </w:tc>
      </w:tr>
    </w:tbl>
    <w:p>
      <w:pPr>
        <w:spacing w:after="0" w:before="200"/>
      </w:pPr>
      <w:r>
        <w:t xml:space="preserve"/>
      </w:r>
    </w:p>
    <w:p>
      <w:pPr>
        <w:spacing w:after="120" w:before="80"/>
      </w:pPr>
      <w:r>
        <w:rPr>
          <w:color w:val="5B6B75"/>
          <w:sz w:val="20"/>
          <w:szCs w:val="20"/>
        </w:rPr>
        <w:t xml:space="preserve">The pillars are not departments or service lines. They are lenses. A single client engagement may touch all three, or go deep on one. What determines the mix is not what RGP prefers — it is what the evidence from early work reveals.</w:t>
      </w:r>
    </w:p>
    <w:p>
      <w:r>
        <w:br w:type="page"/>
      </w:r>
    </w:p>
    <w:p>
      <w:pPr>
        <w:spacing w:after="80" w:before="400"/>
      </w:pPr>
      <w:r>
        <w:rPr>
          <w:b/>
          <w:bCs/>
          <w:color w:val="176F73"/>
          <w:spacing w:val="100"/>
          <w:sz w:val="16"/>
          <w:szCs w:val="16"/>
        </w:rPr>
        <w:t xml:space="preserve">SECTION 3</w:t>
      </w:r>
    </w:p>
    <w:p>
      <w:pPr>
        <w:pStyle w:val="Heading2"/>
        <w:spacing w:after="80" w:before="360"/>
      </w:pPr>
      <w:r>
        <w:rPr>
          <w:b/>
          <w:bCs/>
          <w:color w:val="24313A"/>
          <w:sz w:val="28"/>
          <w:szCs w:val="28"/>
        </w:rPr>
        <w:t xml:space="preserve">Pillar 1: Organic Testing &amp; Piloting</w:t>
      </w:r>
    </w:p>
    <w:p>
      <w:pPr>
        <w:pBdr>
          <w:bottom w:val="single" w:color="DCE3E6" w:sz="6" w:space="1"/>
        </w:pBdr>
        <w:spacing w:after="160" w:before="0"/>
      </w:pPr>
      <w:r>
        <w:t xml:space="preserve"/>
      </w:r>
    </w:p>
    <w:p>
      <w:pPr>
        <w:spacing w:after="120" w:before="80"/>
      </w:pPr>
      <w:r>
        <w:rPr>
          <w:color w:val="5B6B75"/>
          <w:sz w:val="20"/>
          <w:szCs w:val="20"/>
        </w:rPr>
        <w:t xml:space="preserve">The most common growth mistake is calling something a test when it is really a launch. A test earns the right to scale. A pilot tells you where to look next. These are different things and they require different setups.</w:t>
      </w:r>
    </w:p>
    <w:p>
      <w:pPr>
        <w:spacing w:after="0" w:before="120"/>
      </w:pPr>
      <w:r>
        <w:t xml:space="preserve"/>
      </w:r>
    </w:p>
    <w:p>
      <w:pPr>
        <w:pStyle w:val="Heading3"/>
        <w:spacing w:after="60" w:before="280"/>
      </w:pPr>
      <w:r>
        <w:rPr>
          <w:b/>
          <w:bCs/>
          <w:color w:val="176F73"/>
          <w:sz w:val="22"/>
          <w:szCs w:val="22"/>
        </w:rPr>
        <w:t xml:space="preserve">Test vs. Pilot — the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shd w:fill="24313A" w:val="clear"/>
            <w:tcMar>
              <w:top w:type="dxa" w:w="100"/>
              <w:left w:type="dxa" w:w="120"/>
              <w:bottom w:type="dxa" w:w="100"/>
              <w:right w:type="dxa" w:w="120"/>
            </w:tcMar>
          </w:tcPr>
          <w:p>
            <w:r>
              <w:rPr>
                <w:sz w:val="18"/>
                <w:szCs w:val="18"/>
              </w:rPr>
              <w:t xml:space="preserve"/>
            </w:r>
          </w:p>
        </w:tc>
        <w:tc>
          <w:tcPr>
            <w:tcW w:type="dxa" w:w="3400"/>
            <w:shd w:fill="24313A" w:val="clear"/>
            <w:tcMar>
              <w:top w:type="dxa" w:w="100"/>
              <w:left w:type="dxa" w:w="120"/>
              <w:bottom w:type="dxa" w:w="100"/>
              <w:right w:type="dxa" w:w="120"/>
            </w:tcMar>
          </w:tcPr>
          <w:p>
            <w:r>
              <w:rPr>
                <w:b/>
                <w:bCs/>
                <w:color w:val="FFFFFF"/>
                <w:sz w:val="18"/>
                <w:szCs w:val="18"/>
              </w:rPr>
              <w:t xml:space="preserve">TEST</w:t>
            </w:r>
          </w:p>
        </w:tc>
        <w:tc>
          <w:tcPr>
            <w:tcW w:type="dxa" w:w="3760"/>
            <w:shd w:fill="24313A" w:val="clear"/>
            <w:tcMar>
              <w:top w:type="dxa" w:w="100"/>
              <w:left w:type="dxa" w:w="120"/>
              <w:bottom w:type="dxa" w:w="100"/>
              <w:right w:type="dxa" w:w="120"/>
            </w:tcMar>
          </w:tcPr>
          <w:p>
            <w:r>
              <w:rPr>
                <w:b/>
                <w:bCs/>
                <w:color w:val="FFFFFF"/>
                <w:sz w:val="18"/>
                <w:szCs w:val="18"/>
              </w:rPr>
              <w:t xml:space="preserve">PILOT</w:t>
            </w:r>
          </w:p>
        </w:tc>
      </w:tr>
      <w:tr>
        <w:tc>
          <w:tcPr>
            <w:tcW w:type="dxa" w:w="2200"/>
            <w:shd w:fill="F2F5F6" w:val="clear"/>
            <w:tcMar>
              <w:top w:type="dxa" w:w="80"/>
              <w:left w:type="dxa" w:w="120"/>
              <w:bottom w:type="dxa" w:w="80"/>
              <w:right w:type="dxa" w:w="120"/>
            </w:tcMar>
          </w:tcPr>
          <w:p>
            <w:r>
              <w:rPr>
                <w:b/>
                <w:bCs/>
                <w:color w:val="24313A"/>
                <w:sz w:val="18"/>
                <w:szCs w:val="18"/>
              </w:rPr>
              <w:t xml:space="preserve">Purpose</w:t>
            </w:r>
          </w:p>
        </w:tc>
        <w:tc>
          <w:tcPr>
            <w:tcW w:type="dxa" w:w="3400"/>
            <w:shd w:fill="F2F5F6" w:val="clear"/>
            <w:tcMar>
              <w:top w:type="dxa" w:w="80"/>
              <w:left w:type="dxa" w:w="120"/>
              <w:bottom w:type="dxa" w:w="80"/>
              <w:right w:type="dxa" w:w="120"/>
            </w:tcMar>
          </w:tcPr>
          <w:p>
            <w:r>
              <w:rPr>
                <w:b w:val="false"/>
                <w:bCs w:val="false"/>
                <w:color w:val="5B6B75"/>
                <w:sz w:val="18"/>
                <w:szCs w:val="18"/>
              </w:rPr>
              <w:t xml:space="preserve">Isolate one variable at real volume</w:t>
            </w:r>
          </w:p>
        </w:tc>
        <w:tc>
          <w:tcPr>
            <w:tcW w:type="dxa" w:w="3760"/>
            <w:shd w:fill="F2F5F6" w:val="clear"/>
            <w:tcMar>
              <w:top w:type="dxa" w:w="80"/>
              <w:left w:type="dxa" w:w="120"/>
              <w:bottom w:type="dxa" w:w="80"/>
              <w:right w:type="dxa" w:w="120"/>
            </w:tcMar>
          </w:tcPr>
          <w:p>
            <w:r>
              <w:rPr>
                <w:b w:val="false"/>
                <w:bCs w:val="false"/>
                <w:color w:val="5B6B75"/>
                <w:sz w:val="18"/>
                <w:szCs w:val="18"/>
              </w:rPr>
              <w:t xml:space="preserve">Directional signal; tells you where to look</w:t>
            </w:r>
          </w:p>
        </w:tc>
      </w:tr>
      <w:tr>
        <w:tc>
          <w:tcPr>
            <w:tcW w:type="dxa" w:w="2200"/>
            <w:shd w:fill="FFFFFF" w:val="clear"/>
            <w:tcMar>
              <w:top w:type="dxa" w:w="80"/>
              <w:left w:type="dxa" w:w="120"/>
              <w:bottom w:type="dxa" w:w="80"/>
              <w:right w:type="dxa" w:w="120"/>
            </w:tcMar>
          </w:tcPr>
          <w:p>
            <w:r>
              <w:rPr>
                <w:b/>
                <w:bCs/>
                <w:color w:val="24313A"/>
                <w:sz w:val="18"/>
                <w:szCs w:val="18"/>
              </w:rPr>
              <w:t xml:space="preserve">Volume</w:t>
            </w:r>
          </w:p>
        </w:tc>
        <w:tc>
          <w:tcPr>
            <w:tcW w:type="dxa" w:w="3400"/>
            <w:shd w:fill="FFFFFF" w:val="clear"/>
            <w:tcMar>
              <w:top w:type="dxa" w:w="80"/>
              <w:left w:type="dxa" w:w="120"/>
              <w:bottom w:type="dxa" w:w="80"/>
              <w:right w:type="dxa" w:w="120"/>
            </w:tcMar>
          </w:tcPr>
          <w:p>
            <w:r>
              <w:rPr>
                <w:b w:val="false"/>
                <w:bCs w:val="false"/>
                <w:color w:val="5B6B75"/>
                <w:sz w:val="18"/>
                <w:szCs w:val="18"/>
              </w:rPr>
              <w:t xml:space="preserve">Statistically meaningful</w:t>
            </w:r>
          </w:p>
        </w:tc>
        <w:tc>
          <w:tcPr>
            <w:tcW w:type="dxa" w:w="3760"/>
            <w:shd w:fill="FFFFFF" w:val="clear"/>
            <w:tcMar>
              <w:top w:type="dxa" w:w="80"/>
              <w:left w:type="dxa" w:w="120"/>
              <w:bottom w:type="dxa" w:w="80"/>
              <w:right w:type="dxa" w:w="120"/>
            </w:tcMar>
          </w:tcPr>
          <w:p>
            <w:r>
              <w:rPr>
                <w:b w:val="false"/>
                <w:bCs w:val="false"/>
                <w:color w:val="5B6B75"/>
                <w:sz w:val="18"/>
                <w:szCs w:val="18"/>
              </w:rPr>
              <w:t xml:space="preserve">Small; intent is learning, not proof</w:t>
            </w:r>
          </w:p>
        </w:tc>
      </w:tr>
      <w:tr>
        <w:tc>
          <w:tcPr>
            <w:tcW w:type="dxa" w:w="2200"/>
            <w:shd w:fill="F2F5F6" w:val="clear"/>
            <w:tcMar>
              <w:top w:type="dxa" w:w="80"/>
              <w:left w:type="dxa" w:w="120"/>
              <w:bottom w:type="dxa" w:w="80"/>
              <w:right w:type="dxa" w:w="120"/>
            </w:tcMar>
          </w:tcPr>
          <w:p>
            <w:r>
              <w:rPr>
                <w:b/>
                <w:bCs/>
                <w:color w:val="24313A"/>
                <w:sz w:val="18"/>
                <w:szCs w:val="18"/>
              </w:rPr>
              <w:t xml:space="preserve">Output</w:t>
            </w:r>
          </w:p>
        </w:tc>
        <w:tc>
          <w:tcPr>
            <w:tcW w:type="dxa" w:w="3400"/>
            <w:shd w:fill="F2F5F6" w:val="clear"/>
            <w:tcMar>
              <w:top w:type="dxa" w:w="80"/>
              <w:left w:type="dxa" w:w="120"/>
              <w:bottom w:type="dxa" w:w="80"/>
              <w:right w:type="dxa" w:w="120"/>
            </w:tcMar>
          </w:tcPr>
          <w:p>
            <w:r>
              <w:rPr>
                <w:b w:val="false"/>
                <w:bCs w:val="false"/>
                <w:color w:val="5B6B75"/>
                <w:sz w:val="18"/>
                <w:szCs w:val="18"/>
              </w:rPr>
              <w:t xml:space="preserve">Go / no-go decision to scale</w:t>
            </w:r>
          </w:p>
        </w:tc>
        <w:tc>
          <w:tcPr>
            <w:tcW w:type="dxa" w:w="3760"/>
            <w:shd w:fill="F2F5F6" w:val="clear"/>
            <w:tcMar>
              <w:top w:type="dxa" w:w="80"/>
              <w:left w:type="dxa" w:w="120"/>
              <w:bottom w:type="dxa" w:w="80"/>
              <w:right w:type="dxa" w:w="120"/>
            </w:tcMar>
          </w:tcPr>
          <w:p>
            <w:r>
              <w:rPr>
                <w:b w:val="false"/>
                <w:bCs w:val="false"/>
                <w:color w:val="5B6B75"/>
                <w:sz w:val="18"/>
                <w:szCs w:val="18"/>
              </w:rPr>
              <w:t xml:space="preserve">Hypothesis for the next test</w:t>
            </w:r>
          </w:p>
        </w:tc>
      </w:tr>
      <w:tr>
        <w:tc>
          <w:tcPr>
            <w:tcW w:type="dxa" w:w="2200"/>
            <w:shd w:fill="FFFFFF" w:val="clear"/>
            <w:tcMar>
              <w:top w:type="dxa" w:w="80"/>
              <w:left w:type="dxa" w:w="120"/>
              <w:bottom w:type="dxa" w:w="80"/>
              <w:right w:type="dxa" w:w="120"/>
            </w:tcMar>
          </w:tcPr>
          <w:p>
            <w:r>
              <w:rPr>
                <w:b/>
                <w:bCs/>
                <w:color w:val="24313A"/>
                <w:sz w:val="18"/>
                <w:szCs w:val="18"/>
              </w:rPr>
              <w:t xml:space="preserve">Risk</w:t>
            </w:r>
          </w:p>
        </w:tc>
        <w:tc>
          <w:tcPr>
            <w:tcW w:type="dxa" w:w="3400"/>
            <w:shd w:fill="FFFFFF" w:val="clear"/>
            <w:tcMar>
              <w:top w:type="dxa" w:w="80"/>
              <w:left w:type="dxa" w:w="120"/>
              <w:bottom w:type="dxa" w:w="80"/>
              <w:right w:type="dxa" w:w="120"/>
            </w:tcMar>
          </w:tcPr>
          <w:p>
            <w:r>
              <w:rPr>
                <w:b w:val="false"/>
                <w:bCs w:val="false"/>
                <w:color w:val="5B6B75"/>
                <w:sz w:val="18"/>
                <w:szCs w:val="18"/>
              </w:rPr>
              <w:t xml:space="preserve">Spend is real; result is definitive</w:t>
            </w:r>
          </w:p>
        </w:tc>
        <w:tc>
          <w:tcPr>
            <w:tcW w:type="dxa" w:w="3760"/>
            <w:shd w:fill="FFFFFF" w:val="clear"/>
            <w:tcMar>
              <w:top w:type="dxa" w:w="80"/>
              <w:left w:type="dxa" w:w="120"/>
              <w:bottom w:type="dxa" w:w="80"/>
              <w:right w:type="dxa" w:w="120"/>
            </w:tcMar>
          </w:tcPr>
          <w:p>
            <w:r>
              <w:rPr>
                <w:b w:val="false"/>
                <w:bCs w:val="false"/>
                <w:color w:val="5B6B75"/>
                <w:sz w:val="18"/>
                <w:szCs w:val="18"/>
              </w:rPr>
              <w:t xml:space="preserve">Low spend; result is provisional</w:t>
            </w:r>
          </w:p>
        </w:tc>
      </w:tr>
      <w:tr>
        <w:tc>
          <w:tcPr>
            <w:tcW w:type="dxa" w:w="2200"/>
            <w:shd w:fill="F2F5F6" w:val="clear"/>
            <w:tcMar>
              <w:top w:type="dxa" w:w="80"/>
              <w:left w:type="dxa" w:w="120"/>
              <w:bottom w:type="dxa" w:w="80"/>
              <w:right w:type="dxa" w:w="120"/>
            </w:tcMar>
          </w:tcPr>
          <w:p>
            <w:r>
              <w:rPr>
                <w:b/>
                <w:bCs/>
                <w:color w:val="24313A"/>
                <w:sz w:val="18"/>
                <w:szCs w:val="18"/>
              </w:rPr>
              <w:t xml:space="preserve">Temptation to avoid</w:t>
            </w:r>
          </w:p>
        </w:tc>
        <w:tc>
          <w:tcPr>
            <w:tcW w:type="dxa" w:w="3400"/>
            <w:shd w:fill="F2F5F6" w:val="clear"/>
            <w:tcMar>
              <w:top w:type="dxa" w:w="80"/>
              <w:left w:type="dxa" w:w="120"/>
              <w:bottom w:type="dxa" w:w="80"/>
              <w:right w:type="dxa" w:w="120"/>
            </w:tcMar>
          </w:tcPr>
          <w:p>
            <w:r>
              <w:rPr>
                <w:b w:val="false"/>
                <w:bCs w:val="false"/>
                <w:color w:val="5B6B75"/>
                <w:sz w:val="18"/>
                <w:szCs w:val="18"/>
              </w:rPr>
              <w:t xml:space="preserve">Calling a pilot a test</w:t>
            </w:r>
          </w:p>
        </w:tc>
        <w:tc>
          <w:tcPr>
            <w:tcW w:type="dxa" w:w="3760"/>
            <w:shd w:fill="F2F5F6" w:val="clear"/>
            <w:tcMar>
              <w:top w:type="dxa" w:w="80"/>
              <w:left w:type="dxa" w:w="120"/>
              <w:bottom w:type="dxa" w:w="80"/>
              <w:right w:type="dxa" w:w="120"/>
            </w:tcMar>
          </w:tcPr>
          <w:p>
            <w:r>
              <w:rPr>
                <w:b w:val="false"/>
                <w:bCs w:val="false"/>
                <w:color w:val="5B6B75"/>
                <w:sz w:val="18"/>
                <w:szCs w:val="18"/>
              </w:rPr>
              <w:t xml:space="preserve">Calling a test a pilot to avoid committing</w:t>
            </w:r>
          </w:p>
        </w:tc>
      </w:tr>
    </w:tbl>
    <w:p>
      <w:pPr>
        <w:spacing w:after="0" w:before="200"/>
      </w:pPr>
      <w:r>
        <w:t xml:space="preserve"/>
      </w:r>
    </w:p>
    <w:p>
      <w:pPr>
        <w:pStyle w:val="Heading3"/>
        <w:spacing w:after="60" w:before="280"/>
      </w:pPr>
      <w:r>
        <w:rPr>
          <w:b/>
          <w:bCs/>
          <w:color w:val="176F73"/>
          <w:sz w:val="22"/>
          <w:szCs w:val="22"/>
        </w:rPr>
        <w:t xml:space="preserve">The Testing Process</w:t>
      </w:r>
    </w:p>
    <w:p>
      <w:pPr>
        <w:pStyle w:val="ListParagraph"/>
        <w:numPr>
          <w:ilvl w:val="0"/>
          <w:numId w:val="3"/>
        </w:numPr>
        <w:spacing w:after="60" w:before="60"/>
      </w:pPr>
      <w:r>
        <w:rPr>
          <w:color w:val="5B6B75"/>
          <w:sz w:val="20"/>
          <w:szCs w:val="20"/>
        </w:rPr>
        <w:t xml:space="preserve">Define the growth question — what decision will this test inform?</w:t>
      </w:r>
    </w:p>
    <w:p>
      <w:pPr>
        <w:pStyle w:val="ListParagraph"/>
        <w:numPr>
          <w:ilvl w:val="0"/>
          <w:numId w:val="3"/>
        </w:numPr>
        <w:spacing w:after="60" w:before="60"/>
      </w:pPr>
      <w:r>
        <w:rPr>
          <w:color w:val="5B6B75"/>
          <w:sz w:val="20"/>
          <w:szCs w:val="20"/>
        </w:rPr>
        <w:t xml:space="preserve">Identify the one variable being isolated — channel, offer, price, message, or audience.</w:t>
      </w:r>
    </w:p>
    <w:p>
      <w:pPr>
        <w:pStyle w:val="ListParagraph"/>
        <w:numPr>
          <w:ilvl w:val="0"/>
          <w:numId w:val="3"/>
        </w:numPr>
        <w:spacing w:after="60" w:before="60"/>
      </w:pPr>
      <w:r>
        <w:rPr>
          <w:color w:val="5B6B75"/>
          <w:sz w:val="20"/>
          <w:szCs w:val="20"/>
        </w:rPr>
        <w:t xml:space="preserve">Set the success condition before launch — what result earns the right to scale?</w:t>
      </w:r>
    </w:p>
    <w:p>
      <w:pPr>
        <w:pStyle w:val="ListParagraph"/>
        <w:numPr>
          <w:ilvl w:val="0"/>
          <w:numId w:val="3"/>
        </w:numPr>
        <w:spacing w:after="60" w:before="60"/>
      </w:pPr>
      <w:r>
        <w:rPr>
          <w:color w:val="5B6B75"/>
          <w:sz w:val="20"/>
          <w:szCs w:val="20"/>
        </w:rPr>
        <w:t xml:space="preserve">Determine minimum volume for statistical confidence.</w:t>
      </w:r>
    </w:p>
    <w:p>
      <w:pPr>
        <w:pStyle w:val="ListParagraph"/>
        <w:numPr>
          <w:ilvl w:val="0"/>
          <w:numId w:val="3"/>
        </w:numPr>
        <w:spacing w:after="60" w:before="60"/>
      </w:pPr>
      <w:r>
        <w:rPr>
          <w:color w:val="5B6B75"/>
          <w:sz w:val="20"/>
          <w:szCs w:val="20"/>
        </w:rPr>
        <w:t xml:space="preserve">Run the test without touching the variable mid-flight.</w:t>
      </w:r>
    </w:p>
    <w:p>
      <w:pPr>
        <w:pStyle w:val="ListParagraph"/>
        <w:numPr>
          <w:ilvl w:val="0"/>
          <w:numId w:val="3"/>
        </w:numPr>
        <w:spacing w:after="60" w:before="60"/>
      </w:pPr>
      <w:r>
        <w:rPr>
          <w:color w:val="5B6B75"/>
          <w:sz w:val="20"/>
          <w:szCs w:val="20"/>
        </w:rPr>
        <w:t xml:space="preserve">Read the result against the pre-set condition — not against hope.</w:t>
      </w:r>
    </w:p>
    <w:p>
      <w:pPr>
        <w:pStyle w:val="ListParagraph"/>
        <w:numPr>
          <w:ilvl w:val="0"/>
          <w:numId w:val="3"/>
        </w:numPr>
        <w:spacing w:after="60" w:before="60"/>
      </w:pPr>
      <w:r>
        <w:rPr>
          <w:color w:val="5B6B75"/>
          <w:sz w:val="20"/>
          <w:szCs w:val="20"/>
        </w:rPr>
        <w:t xml:space="preserve">Document and share: what worked, what did not, and what the next test should be.</w:t>
      </w:r>
    </w:p>
    <w:p>
      <w:pPr>
        <w:spacing w:after="0" w:before="200"/>
      </w:pPr>
      <w:r>
        <w:t xml:space="preserve"/>
      </w:r>
    </w:p>
    <w:p>
      <w:pPr>
        <w:pStyle w:val="Heading3"/>
        <w:spacing w:after="60" w:before="280"/>
      </w:pPr>
      <w:r>
        <w:rPr>
          <w:b/>
          <w:bCs/>
          <w:color w:val="176F73"/>
          <w:sz w:val="22"/>
          <w:szCs w:val="22"/>
        </w:rPr>
        <w:t xml:space="preserve">Common Failure Modes</w:t>
      </w:r>
    </w:p>
    <w:p>
      <w:pPr>
        <w:pStyle w:val="ListParagraph"/>
        <w:numPr>
          <w:ilvl w:val="0"/>
          <w:numId w:val="2"/>
        </w:numPr>
        <w:spacing w:after="60" w:before="60"/>
      </w:pPr>
      <w:r>
        <w:rPr>
          <w:color w:val="5B6B75"/>
          <w:sz w:val="20"/>
          <w:szCs w:val="20"/>
        </w:rPr>
        <w:t xml:space="preserve">Changing the variable mid-test because early results are disappointing.</w:t>
      </w:r>
    </w:p>
    <w:p>
      <w:pPr>
        <w:pStyle w:val="ListParagraph"/>
        <w:numPr>
          <w:ilvl w:val="0"/>
          <w:numId w:val="2"/>
        </w:numPr>
        <w:spacing w:after="60" w:before="60"/>
      </w:pPr>
      <w:r>
        <w:rPr>
          <w:color w:val="5B6B75"/>
          <w:sz w:val="20"/>
          <w:szCs w:val="20"/>
        </w:rPr>
        <w:t xml:space="preserve">Running at too low a volume, then treating the output as proof.</w:t>
      </w:r>
    </w:p>
    <w:p>
      <w:pPr>
        <w:pStyle w:val="ListParagraph"/>
        <w:numPr>
          <w:ilvl w:val="0"/>
          <w:numId w:val="2"/>
        </w:numPr>
        <w:spacing w:after="60" w:before="60"/>
      </w:pPr>
      <w:r>
        <w:rPr>
          <w:color w:val="5B6B75"/>
          <w:sz w:val="20"/>
          <w:szCs w:val="20"/>
        </w:rPr>
        <w:t xml:space="preserve">Testing multiple variables simultaneously and attributing outcomes to the wrong one.</w:t>
      </w:r>
    </w:p>
    <w:p>
      <w:pPr>
        <w:pStyle w:val="ListParagraph"/>
        <w:numPr>
          <w:ilvl w:val="0"/>
          <w:numId w:val="2"/>
        </w:numPr>
        <w:spacing w:after="60" w:before="60"/>
      </w:pPr>
      <w:r>
        <w:rPr>
          <w:color w:val="5B6B75"/>
          <w:sz w:val="20"/>
          <w:szCs w:val="20"/>
        </w:rPr>
        <w:t xml:space="preserve">Skipping the success condition and deciding post-hoc.</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F73" w:sz="12"/>
              <w:left w:val="single" w:color="DCE3E6" w:sz="4"/>
              <w:bottom w:val="single" w:color="DCE3E6" w:sz="4"/>
              <w:right w:val="single" w:color="DCE3E6" w:sz="4"/>
            </w:tcBorders>
            <w:shd w:fill="EBF5F5" w:color="auto" w:val="clear"/>
            <w:tcMar>
              <w:top w:type="dxa" w:w="120"/>
              <w:left w:type="dxa" w:w="180"/>
              <w:bottom w:type="dxa" w:w="120"/>
              <w:right w:type="dxa" w:w="180"/>
            </w:tcMar>
          </w:tcPr>
          <w:p>
            <w:pPr>
              <w:spacing w:after="60" w:before="0"/>
            </w:pPr>
            <w:r>
              <w:rPr>
                <w:b/>
                <w:bCs/>
                <w:color w:val="176F73"/>
                <w:sz w:val="20"/>
                <w:szCs w:val="20"/>
              </w:rPr>
              <w:t xml:space="preserve">Principle</w:t>
            </w:r>
          </w:p>
          <w:p>
            <w:pPr>
              <w:spacing w:after="0" w:before="0"/>
            </w:pPr>
            <w:r>
              <w:rPr>
                <w:color w:val="24313A"/>
                <w:sz w:val="19"/>
                <w:szCs w:val="19"/>
              </w:rPr>
              <w:t xml:space="preserve">A test that cannot be read is a spend, not a test. If you cannot define success before you start, you are not ready to test.</w:t>
            </w:r>
          </w:p>
        </w:tc>
      </w:tr>
    </w:tbl>
    <w:p>
      <w:r>
        <w:br w:type="page"/>
      </w:r>
    </w:p>
    <w:p>
      <w:pPr>
        <w:spacing w:after="80" w:before="400"/>
      </w:pPr>
      <w:r>
        <w:rPr>
          <w:b/>
          <w:bCs/>
          <w:color w:val="176F73"/>
          <w:spacing w:val="100"/>
          <w:sz w:val="16"/>
          <w:szCs w:val="16"/>
        </w:rPr>
        <w:t xml:space="preserve">SECTION 4</w:t>
      </w:r>
    </w:p>
    <w:p>
      <w:pPr>
        <w:pStyle w:val="Heading2"/>
        <w:spacing w:after="80" w:before="360"/>
      </w:pPr>
      <w:r>
        <w:rPr>
          <w:b/>
          <w:bCs/>
          <w:color w:val="24313A"/>
          <w:sz w:val="28"/>
          <w:szCs w:val="28"/>
        </w:rPr>
        <w:t xml:space="preserve">Pillar 2: Partnerships</w:t>
      </w:r>
    </w:p>
    <w:p>
      <w:pPr>
        <w:pBdr>
          <w:bottom w:val="single" w:color="DCE3E6" w:sz="6" w:space="1"/>
        </w:pBdr>
        <w:spacing w:after="160" w:before="0"/>
      </w:pPr>
      <w:r>
        <w:t xml:space="preserve"/>
      </w:r>
    </w:p>
    <w:p>
      <w:pPr>
        <w:spacing w:after="120" w:before="80"/>
      </w:pPr>
      <w:r>
        <w:rPr>
          <w:color w:val="5B6B75"/>
          <w:sz w:val="20"/>
          <w:szCs w:val="20"/>
        </w:rPr>
        <w:t xml:space="preserve">A partnership is a distribution agreement. The goal is to reach a qualified audience through a trusted intermediary at a unit economics that makes the channel worth keeping. Almost everything else is noise.</w:t>
      </w:r>
    </w:p>
    <w:p>
      <w:pPr>
        <w:spacing w:after="120" w:before="80"/>
      </w:pPr>
      <w:r>
        <w:rPr>
          <w:color w:val="5B6B75"/>
          <w:sz w:val="20"/>
          <w:szCs w:val="20"/>
        </w:rPr>
        <w:t xml:space="preserve">The most common partnership mistake is leading with relationships rather than rubric — pursuing the most visible or enthusiastic partner rather than the sequentially right one.</w:t>
      </w:r>
    </w:p>
    <w:p>
      <w:pPr>
        <w:spacing w:after="0" w:before="120"/>
      </w:pPr>
      <w:r>
        <w:t xml:space="preserve"/>
      </w:r>
    </w:p>
    <w:p>
      <w:pPr>
        <w:pStyle w:val="Heading3"/>
        <w:spacing w:after="60" w:before="280"/>
      </w:pPr>
      <w:r>
        <w:rPr>
          <w:b/>
          <w:bCs/>
          <w:color w:val="176F73"/>
          <w:sz w:val="22"/>
          <w:szCs w:val="22"/>
        </w:rPr>
        <w:t xml:space="preserve">The Four Affinity Models</w:t>
      </w:r>
    </w:p>
    <w:p>
      <w:pPr>
        <w:spacing w:after="120" w:before="80"/>
      </w:pPr>
      <w:r>
        <w:rPr>
          <w:color w:val="5B6B75"/>
          <w:sz w:val="20"/>
          <w:szCs w:val="20"/>
        </w:rPr>
        <w:t xml:space="preserve">Before ranking candidates, map the universe of partnership types by how they work:</w:t>
      </w:r>
    </w:p>
    <w:p>
      <w:pPr>
        <w:pStyle w:val="ListParagraph"/>
        <w:numPr>
          <w:ilvl w:val="0"/>
          <w:numId w:val="2"/>
        </w:numPr>
        <w:spacing w:after="60" w:before="60"/>
      </w:pPr>
      <w:r>
        <w:rPr>
          <w:color w:val="5B6B75"/>
          <w:sz w:val="20"/>
          <w:szCs w:val="20"/>
        </w:rPr>
        <w:t xml:space="preserve">Affinity marketing — partner's audience has a shared identity or interest that aligns with your offer (associations, alumni networks, fraternities/sororities, professional groups).</w:t>
      </w:r>
    </w:p>
    <w:p>
      <w:pPr>
        <w:pStyle w:val="ListParagraph"/>
        <w:numPr>
          <w:ilvl w:val="0"/>
          <w:numId w:val="2"/>
        </w:numPr>
        <w:spacing w:after="60" w:before="60"/>
      </w:pPr>
      <w:r>
        <w:rPr>
          <w:color w:val="5B6B75"/>
          <w:sz w:val="20"/>
          <w:szCs w:val="20"/>
        </w:rPr>
        <w:t xml:space="preserve">Co-marketing — joint campaigns where both parties share a customer base and promote each other.</w:t>
      </w:r>
    </w:p>
    <w:p>
      <w:pPr>
        <w:pStyle w:val="ListParagraph"/>
        <w:numPr>
          <w:ilvl w:val="0"/>
          <w:numId w:val="2"/>
        </w:numPr>
        <w:spacing w:after="60" w:before="60"/>
      </w:pPr>
      <w:r>
        <w:rPr>
          <w:color w:val="5B6B75"/>
          <w:sz w:val="20"/>
          <w:szCs w:val="20"/>
        </w:rPr>
        <w:t xml:space="preserve">Embedded distribution — your product or offer is integrated into a partner's existing purchase or membership flow.</w:t>
      </w:r>
    </w:p>
    <w:p>
      <w:pPr>
        <w:pStyle w:val="ListParagraph"/>
        <w:numPr>
          <w:ilvl w:val="0"/>
          <w:numId w:val="2"/>
        </w:numPr>
        <w:spacing w:after="60" w:before="60"/>
      </w:pPr>
      <w:r>
        <w:rPr>
          <w:color w:val="5B6B75"/>
          <w:sz w:val="20"/>
          <w:szCs w:val="20"/>
        </w:rPr>
        <w:t xml:space="preserve">White-label / private label — partner sells your product under their brand; you provide fulfillment and economics.</w:t>
      </w:r>
    </w:p>
    <w:p>
      <w:pPr>
        <w:spacing w:after="0" w:before="120"/>
      </w:pPr>
      <w:r>
        <w:t xml:space="preserve"/>
      </w:r>
    </w:p>
    <w:p>
      <w:pPr>
        <w:pStyle w:val="Heading3"/>
        <w:spacing w:after="60" w:before="280"/>
      </w:pPr>
      <w:r>
        <w:rPr>
          <w:b/>
          <w:bCs/>
          <w:color w:val="176F73"/>
          <w:sz w:val="22"/>
          <w:szCs w:val="22"/>
        </w:rPr>
        <w:t xml:space="preserve">Partner Scoring Rubric</w:t>
      </w:r>
    </w:p>
    <w:p>
      <w:pPr>
        <w:spacing w:after="120" w:before="80"/>
      </w:pPr>
      <w:r>
        <w:rPr>
          <w:color w:val="5B6B75"/>
          <w:sz w:val="20"/>
          <w:szCs w:val="20"/>
        </w:rPr>
        <w:t xml:space="preserve">Score every candidate against the same criteria before any conversation. This prevents energy spent on the wrong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shd w:fill="24313A" w:val="clear"/>
            <w:tcMar>
              <w:top w:type="dxa" w:w="100"/>
              <w:left w:type="dxa" w:w="120"/>
              <w:bottom w:type="dxa" w:w="100"/>
              <w:right w:type="dxa" w:w="120"/>
            </w:tcMar>
          </w:tcPr>
          <w:p>
            <w:r>
              <w:rPr>
                <w:b/>
                <w:bCs/>
                <w:color w:val="FFFFFF"/>
                <w:sz w:val="18"/>
                <w:szCs w:val="18"/>
              </w:rPr>
              <w:t xml:space="preserve">CRITERION</w:t>
            </w:r>
          </w:p>
        </w:tc>
        <w:tc>
          <w:tcPr>
            <w:tcW w:type="dxa" w:w="3360"/>
            <w:shd w:fill="24313A" w:val="clear"/>
            <w:tcMar>
              <w:top w:type="dxa" w:w="100"/>
              <w:left w:type="dxa" w:w="120"/>
              <w:bottom w:type="dxa" w:w="100"/>
              <w:right w:type="dxa" w:w="120"/>
            </w:tcMar>
          </w:tcPr>
          <w:p>
            <w:r>
              <w:rPr>
                <w:b/>
                <w:bCs/>
                <w:color w:val="FFFFFF"/>
                <w:sz w:val="18"/>
                <w:szCs w:val="18"/>
              </w:rPr>
              <w:t xml:space="preserve">WHAT TO ASK</w:t>
            </w:r>
          </w:p>
        </w:tc>
        <w:tc>
          <w:tcPr>
            <w:tcW w:type="dxa" w:w="2400"/>
            <w:shd w:fill="24313A" w:val="clear"/>
            <w:tcMar>
              <w:top w:type="dxa" w:w="100"/>
              <w:left w:type="dxa" w:w="120"/>
              <w:bottom w:type="dxa" w:w="100"/>
              <w:right w:type="dxa" w:w="120"/>
            </w:tcMar>
          </w:tcPr>
          <w:p>
            <w:r>
              <w:rPr>
                <w:b/>
                <w:bCs/>
                <w:color w:val="FFFFFF"/>
                <w:sz w:val="18"/>
                <w:szCs w:val="18"/>
              </w:rPr>
              <w:t xml:space="preserve">WEIGHT</w:t>
            </w:r>
          </w:p>
        </w:tc>
      </w:tr>
      <w:tr>
        <w:tc>
          <w:tcPr>
            <w:tcW w:type="dxa" w:w="3600"/>
            <w:shd w:fill="F2F5F6" w:val="clear"/>
            <w:tcMar>
              <w:top w:type="dxa" w:w="80"/>
              <w:left w:type="dxa" w:w="120"/>
              <w:bottom w:type="dxa" w:w="80"/>
              <w:right w:type="dxa" w:w="120"/>
            </w:tcMar>
          </w:tcPr>
          <w:p>
            <w:r>
              <w:rPr>
                <w:b w:val="false"/>
                <w:bCs w:val="false"/>
                <w:color w:val="5B6B75"/>
                <w:sz w:val="18"/>
                <w:szCs w:val="18"/>
              </w:rPr>
              <w:t xml:space="preserve">Audience alignment</w:t>
            </w:r>
          </w:p>
        </w:tc>
        <w:tc>
          <w:tcPr>
            <w:tcW w:type="dxa" w:w="3360"/>
            <w:shd w:fill="F2F5F6" w:val="clear"/>
            <w:tcMar>
              <w:top w:type="dxa" w:w="80"/>
              <w:left w:type="dxa" w:w="120"/>
              <w:bottom w:type="dxa" w:w="80"/>
              <w:right w:type="dxa" w:w="120"/>
            </w:tcMar>
          </w:tcPr>
          <w:p>
            <w:r>
              <w:rPr>
                <w:b w:val="false"/>
                <w:bCs w:val="false"/>
                <w:color w:val="5B6B75"/>
                <w:sz w:val="18"/>
                <w:szCs w:val="18"/>
              </w:rPr>
              <w:t xml:space="preserve">Does their audience have genuine reason to want our offer?</w:t>
            </w:r>
          </w:p>
        </w:tc>
        <w:tc>
          <w:tcPr>
            <w:tcW w:type="dxa" w:w="2400"/>
            <w:shd w:fill="F2F5F6" w:val="clear"/>
            <w:tcMar>
              <w:top w:type="dxa" w:w="80"/>
              <w:left w:type="dxa" w:w="120"/>
              <w:bottom w:type="dxa" w:w="80"/>
              <w:right w:type="dxa" w:w="120"/>
            </w:tcMar>
          </w:tcPr>
          <w:p>
            <w:r>
              <w:rPr>
                <w:b/>
                <w:bCs/>
                <w:color w:val="176F73"/>
                <w:sz w:val="18"/>
                <w:szCs w:val="18"/>
              </w:rPr>
              <w:t xml:space="preserve">High</w:t>
            </w:r>
          </w:p>
        </w:tc>
      </w:tr>
      <w:tr>
        <w:tc>
          <w:tcPr>
            <w:tcW w:type="dxa" w:w="3600"/>
            <w:shd w:fill="FFFFFF" w:val="clear"/>
            <w:tcMar>
              <w:top w:type="dxa" w:w="80"/>
              <w:left w:type="dxa" w:w="120"/>
              <w:bottom w:type="dxa" w:w="80"/>
              <w:right w:type="dxa" w:w="120"/>
            </w:tcMar>
          </w:tcPr>
          <w:p>
            <w:r>
              <w:rPr>
                <w:b w:val="false"/>
                <w:bCs w:val="false"/>
                <w:color w:val="5B6B75"/>
                <w:sz w:val="18"/>
                <w:szCs w:val="18"/>
              </w:rPr>
              <w:t xml:space="preserve">Reachability</w:t>
            </w:r>
          </w:p>
        </w:tc>
        <w:tc>
          <w:tcPr>
            <w:tcW w:type="dxa" w:w="3360"/>
            <w:shd w:fill="FFFFFF" w:val="clear"/>
            <w:tcMar>
              <w:top w:type="dxa" w:w="80"/>
              <w:left w:type="dxa" w:w="120"/>
              <w:bottom w:type="dxa" w:w="80"/>
              <w:right w:type="dxa" w:w="120"/>
            </w:tcMar>
          </w:tcPr>
          <w:p>
            <w:r>
              <w:rPr>
                <w:b w:val="false"/>
                <w:bCs w:val="false"/>
                <w:color w:val="5B6B75"/>
                <w:sz w:val="18"/>
                <w:szCs w:val="18"/>
              </w:rPr>
              <w:t xml:space="preserve">Can they actually put our offer in front of members?</w:t>
            </w:r>
          </w:p>
        </w:tc>
        <w:tc>
          <w:tcPr>
            <w:tcW w:type="dxa" w:w="2400"/>
            <w:shd w:fill="FFFFFF" w:val="clear"/>
            <w:tcMar>
              <w:top w:type="dxa" w:w="80"/>
              <w:left w:type="dxa" w:w="120"/>
              <w:bottom w:type="dxa" w:w="80"/>
              <w:right w:type="dxa" w:w="120"/>
            </w:tcMar>
          </w:tcPr>
          <w:p>
            <w:r>
              <w:rPr>
                <w:b/>
                <w:bCs/>
                <w:color w:val="176F73"/>
                <w:sz w:val="18"/>
                <w:szCs w:val="18"/>
              </w:rPr>
              <w:t xml:space="preserve">High</w:t>
            </w:r>
          </w:p>
        </w:tc>
      </w:tr>
      <w:tr>
        <w:tc>
          <w:tcPr>
            <w:tcW w:type="dxa" w:w="3600"/>
            <w:shd w:fill="F2F5F6" w:val="clear"/>
            <w:tcMar>
              <w:top w:type="dxa" w:w="80"/>
              <w:left w:type="dxa" w:w="120"/>
              <w:bottom w:type="dxa" w:w="80"/>
              <w:right w:type="dxa" w:w="120"/>
            </w:tcMar>
          </w:tcPr>
          <w:p>
            <w:r>
              <w:rPr>
                <w:b w:val="false"/>
                <w:bCs w:val="false"/>
                <w:color w:val="5B6B75"/>
                <w:sz w:val="18"/>
                <w:szCs w:val="18"/>
              </w:rPr>
              <w:t xml:space="preserve">Economic fit</w:t>
            </w:r>
          </w:p>
        </w:tc>
        <w:tc>
          <w:tcPr>
            <w:tcW w:type="dxa" w:w="3360"/>
            <w:shd w:fill="F2F5F6" w:val="clear"/>
            <w:tcMar>
              <w:top w:type="dxa" w:w="80"/>
              <w:left w:type="dxa" w:w="120"/>
              <w:bottom w:type="dxa" w:w="80"/>
              <w:right w:type="dxa" w:w="120"/>
            </w:tcMar>
          </w:tcPr>
          <w:p>
            <w:r>
              <w:rPr>
                <w:b w:val="false"/>
                <w:bCs w:val="false"/>
                <w:color w:val="5B6B75"/>
                <w:sz w:val="18"/>
                <w:szCs w:val="18"/>
              </w:rPr>
              <w:t xml:space="preserve">Do the unit economics work at realistic conversion rates?</w:t>
            </w:r>
          </w:p>
        </w:tc>
        <w:tc>
          <w:tcPr>
            <w:tcW w:type="dxa" w:w="2400"/>
            <w:shd w:fill="F2F5F6" w:val="clear"/>
            <w:tcMar>
              <w:top w:type="dxa" w:w="80"/>
              <w:left w:type="dxa" w:w="120"/>
              <w:bottom w:type="dxa" w:w="80"/>
              <w:right w:type="dxa" w:w="120"/>
            </w:tcMar>
          </w:tcPr>
          <w:p>
            <w:r>
              <w:rPr>
                <w:b/>
                <w:bCs/>
                <w:color w:val="176F73"/>
                <w:sz w:val="18"/>
                <w:szCs w:val="18"/>
              </w:rPr>
              <w:t xml:space="preserve">High</w:t>
            </w:r>
          </w:p>
        </w:tc>
      </w:tr>
      <w:tr>
        <w:tc>
          <w:tcPr>
            <w:tcW w:type="dxa" w:w="3600"/>
            <w:shd w:fill="FFFFFF" w:val="clear"/>
            <w:tcMar>
              <w:top w:type="dxa" w:w="80"/>
              <w:left w:type="dxa" w:w="120"/>
              <w:bottom w:type="dxa" w:w="80"/>
              <w:right w:type="dxa" w:w="120"/>
            </w:tcMar>
          </w:tcPr>
          <w:p>
            <w:r>
              <w:rPr>
                <w:b w:val="false"/>
                <w:bCs w:val="false"/>
                <w:color w:val="5B6B75"/>
                <w:sz w:val="18"/>
                <w:szCs w:val="18"/>
              </w:rPr>
              <w:t xml:space="preserve">Sequencing</w:t>
            </w:r>
          </w:p>
        </w:tc>
        <w:tc>
          <w:tcPr>
            <w:tcW w:type="dxa" w:w="3360"/>
            <w:shd w:fill="FFFFFF" w:val="clear"/>
            <w:tcMar>
              <w:top w:type="dxa" w:w="80"/>
              <w:left w:type="dxa" w:w="120"/>
              <w:bottom w:type="dxa" w:w="80"/>
              <w:right w:type="dxa" w:w="120"/>
            </w:tcMar>
          </w:tcPr>
          <w:p>
            <w:r>
              <w:rPr>
                <w:b w:val="false"/>
                <w:bCs w:val="false"/>
                <w:color w:val="5B6B75"/>
                <w:sz w:val="18"/>
                <w:szCs w:val="18"/>
              </w:rPr>
              <w:t xml:space="preserve">Is this the right next partner, or are we skipping a step?</w:t>
            </w:r>
          </w:p>
        </w:tc>
        <w:tc>
          <w:tcPr>
            <w:tcW w:type="dxa" w:w="2400"/>
            <w:shd w:fill="FFFFFF" w:val="clear"/>
            <w:tcMar>
              <w:top w:type="dxa" w:w="80"/>
              <w:left w:type="dxa" w:w="120"/>
              <w:bottom w:type="dxa" w:w="80"/>
              <w:right w:type="dxa" w:w="120"/>
            </w:tcMar>
          </w:tcPr>
          <w:p>
            <w:r>
              <w:rPr>
                <w:b/>
                <w:bCs/>
                <w:color w:val="176F73"/>
                <w:sz w:val="18"/>
                <w:szCs w:val="18"/>
              </w:rPr>
              <w:t xml:space="preserve">Medium</w:t>
            </w:r>
          </w:p>
        </w:tc>
      </w:tr>
      <w:tr>
        <w:tc>
          <w:tcPr>
            <w:tcW w:type="dxa" w:w="3600"/>
            <w:shd w:fill="F2F5F6" w:val="clear"/>
            <w:tcMar>
              <w:top w:type="dxa" w:w="80"/>
              <w:left w:type="dxa" w:w="120"/>
              <w:bottom w:type="dxa" w:w="80"/>
              <w:right w:type="dxa" w:w="120"/>
            </w:tcMar>
          </w:tcPr>
          <w:p>
            <w:r>
              <w:rPr>
                <w:b w:val="false"/>
                <w:bCs w:val="false"/>
                <w:color w:val="5B6B75"/>
                <w:sz w:val="18"/>
                <w:szCs w:val="18"/>
              </w:rPr>
              <w:t xml:space="preserve">Exclusivity risk</w:t>
            </w:r>
          </w:p>
        </w:tc>
        <w:tc>
          <w:tcPr>
            <w:tcW w:type="dxa" w:w="3360"/>
            <w:shd w:fill="F2F5F6" w:val="clear"/>
            <w:tcMar>
              <w:top w:type="dxa" w:w="80"/>
              <w:left w:type="dxa" w:w="120"/>
              <w:bottom w:type="dxa" w:w="80"/>
              <w:right w:type="dxa" w:w="120"/>
            </w:tcMar>
          </w:tcPr>
          <w:p>
            <w:r>
              <w:rPr>
                <w:b w:val="false"/>
                <w:bCs w:val="false"/>
                <w:color w:val="5B6B75"/>
                <w:sz w:val="18"/>
                <w:szCs w:val="18"/>
              </w:rPr>
              <w:t xml:space="preserve">Will this constrain better partners later?</w:t>
            </w:r>
          </w:p>
        </w:tc>
        <w:tc>
          <w:tcPr>
            <w:tcW w:type="dxa" w:w="2400"/>
            <w:shd w:fill="F2F5F6" w:val="clear"/>
            <w:tcMar>
              <w:top w:type="dxa" w:w="80"/>
              <w:left w:type="dxa" w:w="120"/>
              <w:bottom w:type="dxa" w:w="80"/>
              <w:right w:type="dxa" w:w="120"/>
            </w:tcMar>
          </w:tcPr>
          <w:p>
            <w:r>
              <w:rPr>
                <w:b/>
                <w:bCs/>
                <w:color w:val="176F73"/>
                <w:sz w:val="18"/>
                <w:szCs w:val="18"/>
              </w:rPr>
              <w:t xml:space="preserve">Medium</w:t>
            </w:r>
          </w:p>
        </w:tc>
      </w:tr>
      <w:tr>
        <w:tc>
          <w:tcPr>
            <w:tcW w:type="dxa" w:w="3600"/>
            <w:shd w:fill="FFFFFF" w:val="clear"/>
            <w:tcMar>
              <w:top w:type="dxa" w:w="80"/>
              <w:left w:type="dxa" w:w="120"/>
              <w:bottom w:type="dxa" w:w="80"/>
              <w:right w:type="dxa" w:w="120"/>
            </w:tcMar>
          </w:tcPr>
          <w:p>
            <w:r>
              <w:rPr>
                <w:b w:val="false"/>
                <w:bCs w:val="false"/>
                <w:color w:val="5B6B75"/>
                <w:sz w:val="18"/>
                <w:szCs w:val="18"/>
              </w:rPr>
              <w:t xml:space="preserve">Organizational readiness</w:t>
            </w:r>
          </w:p>
        </w:tc>
        <w:tc>
          <w:tcPr>
            <w:tcW w:type="dxa" w:w="3360"/>
            <w:shd w:fill="FFFFFF" w:val="clear"/>
            <w:tcMar>
              <w:top w:type="dxa" w:w="80"/>
              <w:left w:type="dxa" w:w="120"/>
              <w:bottom w:type="dxa" w:w="80"/>
              <w:right w:type="dxa" w:w="120"/>
            </w:tcMar>
          </w:tcPr>
          <w:p>
            <w:r>
              <w:rPr>
                <w:b w:val="false"/>
                <w:bCs w:val="false"/>
                <w:color w:val="5B6B75"/>
                <w:sz w:val="18"/>
                <w:szCs w:val="18"/>
              </w:rPr>
              <w:t xml:space="preserve">Do they have the infrastructure to execute?</w:t>
            </w:r>
          </w:p>
        </w:tc>
        <w:tc>
          <w:tcPr>
            <w:tcW w:type="dxa" w:w="2400"/>
            <w:shd w:fill="FFFFFF" w:val="clear"/>
            <w:tcMar>
              <w:top w:type="dxa" w:w="80"/>
              <w:left w:type="dxa" w:w="120"/>
              <w:bottom w:type="dxa" w:w="80"/>
              <w:right w:type="dxa" w:w="120"/>
            </w:tcMar>
          </w:tcPr>
          <w:p>
            <w:r>
              <w:rPr>
                <w:b/>
                <w:bCs/>
                <w:color w:val="176F73"/>
                <w:sz w:val="18"/>
                <w:szCs w:val="18"/>
              </w:rPr>
              <w:t xml:space="preserve">Medium</w:t>
            </w:r>
          </w:p>
        </w:tc>
      </w:tr>
      <w:tr>
        <w:tc>
          <w:tcPr>
            <w:tcW w:type="dxa" w:w="3600"/>
            <w:shd w:fill="F2F5F6" w:val="clear"/>
            <w:tcMar>
              <w:top w:type="dxa" w:w="80"/>
              <w:left w:type="dxa" w:w="120"/>
              <w:bottom w:type="dxa" w:w="80"/>
              <w:right w:type="dxa" w:w="120"/>
            </w:tcMar>
          </w:tcPr>
          <w:p>
            <w:r>
              <w:rPr>
                <w:b w:val="false"/>
                <w:bCs w:val="false"/>
                <w:color w:val="5B6B75"/>
                <w:sz w:val="18"/>
                <w:szCs w:val="18"/>
              </w:rPr>
              <w:t xml:space="preserve">Relationship</w:t>
            </w:r>
          </w:p>
        </w:tc>
        <w:tc>
          <w:tcPr>
            <w:tcW w:type="dxa" w:w="3360"/>
            <w:shd w:fill="F2F5F6" w:val="clear"/>
            <w:tcMar>
              <w:top w:type="dxa" w:w="80"/>
              <w:left w:type="dxa" w:w="120"/>
              <w:bottom w:type="dxa" w:w="80"/>
              <w:right w:type="dxa" w:w="120"/>
            </w:tcMar>
          </w:tcPr>
          <w:p>
            <w:r>
              <w:rPr>
                <w:b w:val="false"/>
                <w:bCs w:val="false"/>
                <w:color w:val="5B6B75"/>
                <w:sz w:val="18"/>
                <w:szCs w:val="18"/>
              </w:rPr>
              <w:t xml:space="preserve">Do we have a warm in, or is this a cold approach?</w:t>
            </w:r>
          </w:p>
        </w:tc>
        <w:tc>
          <w:tcPr>
            <w:tcW w:type="dxa" w:w="2400"/>
            <w:shd w:fill="F2F5F6" w:val="clear"/>
            <w:tcMar>
              <w:top w:type="dxa" w:w="80"/>
              <w:left w:type="dxa" w:w="120"/>
              <w:bottom w:type="dxa" w:w="80"/>
              <w:right w:type="dxa" w:w="120"/>
            </w:tcMar>
          </w:tcPr>
          <w:p>
            <w:r>
              <w:rPr>
                <w:b/>
                <w:bCs/>
                <w:color w:val="176F73"/>
                <w:sz w:val="18"/>
                <w:szCs w:val="18"/>
              </w:rPr>
              <w:t xml:space="preserve">Low</w:t>
            </w:r>
          </w:p>
        </w:tc>
      </w:tr>
    </w:tbl>
    <w:p>
      <w:pPr>
        <w:spacing w:after="0" w:before="200"/>
      </w:pPr>
      <w:r>
        <w:t xml:space="preserve"/>
      </w:r>
    </w:p>
    <w:p>
      <w:pPr>
        <w:pStyle w:val="Heading3"/>
        <w:spacing w:after="60" w:before="280"/>
      </w:pPr>
      <w:r>
        <w:rPr>
          <w:b/>
          <w:bCs/>
          <w:color w:val="176F73"/>
          <w:sz w:val="22"/>
          <w:szCs w:val="22"/>
        </w:rPr>
        <w:t xml:space="preserve">Partnership Sequencing Principle</w:t>
      </w:r>
    </w:p>
    <w:p>
      <w:pPr>
        <w:spacing w:after="120" w:before="80"/>
      </w:pPr>
      <w:r>
        <w:rPr>
          <w:color w:val="5B6B75"/>
          <w:sz w:val="20"/>
          <w:szCs w:val="20"/>
        </w:rPr>
        <w:t xml:space="preserve">The right first partner is not the most attractive one — it is the one that, if it works, makes the next conversation easier. Ask: what does a successful test with this partner prove, and who does that proof open the door to?</w:t>
      </w:r>
    </w:p>
    <w:p>
      <w:pPr>
        <w:pStyle w:val="ListParagraph"/>
        <w:numPr>
          <w:ilvl w:val="0"/>
          <w:numId w:val="2"/>
        </w:numPr>
        <w:spacing w:after="60" w:before="60"/>
      </w:pPr>
      <w:r>
        <w:rPr>
          <w:color w:val="5B6B75"/>
          <w:sz w:val="20"/>
          <w:szCs w:val="20"/>
        </w:rPr>
        <w:t xml:space="preserve">Start with the partner where the test is cleanest and the economics are most readable.</w:t>
      </w:r>
    </w:p>
    <w:p>
      <w:pPr>
        <w:pStyle w:val="ListParagraph"/>
        <w:numPr>
          <w:ilvl w:val="0"/>
          <w:numId w:val="2"/>
        </w:numPr>
        <w:spacing w:after="60" w:before="60"/>
      </w:pPr>
      <w:r>
        <w:rPr>
          <w:color w:val="5B6B75"/>
          <w:sz w:val="20"/>
          <w:szCs w:val="20"/>
        </w:rPr>
        <w:t xml:space="preserve">Build the case study before you need it in the next negotiation.</w:t>
      </w:r>
    </w:p>
    <w:p>
      <w:pPr>
        <w:pStyle w:val="ListParagraph"/>
        <w:numPr>
          <w:ilvl w:val="0"/>
          <w:numId w:val="2"/>
        </w:numPr>
        <w:spacing w:after="60" w:before="60"/>
      </w:pPr>
      <w:r>
        <w:rPr>
          <w:color w:val="5B6B75"/>
          <w:sz w:val="20"/>
          <w:szCs w:val="20"/>
        </w:rPr>
        <w:t xml:space="preserve">Do not sign an exclusive arrangement until you understand the ceiling.</w:t>
      </w:r>
    </w:p>
    <w:p>
      <w:pPr>
        <w:spacing w:after="0" w:before="200"/>
      </w:pPr>
      <w:r>
        <w:t xml:space="preserve"/>
      </w:r>
    </w:p>
    <w:p>
      <w:pPr>
        <w:pStyle w:val="Heading3"/>
        <w:spacing w:after="60" w:before="280"/>
      </w:pPr>
      <w:r>
        <w:rPr>
          <w:b/>
          <w:bCs/>
          <w:color w:val="176F73"/>
          <w:sz w:val="22"/>
          <w:szCs w:val="22"/>
        </w:rPr>
        <w:t xml:space="preserve">Unit Economics Template</w:t>
      </w:r>
    </w:p>
    <w:p>
      <w:pPr>
        <w:spacing w:after="120" w:before="80"/>
      </w:pPr>
      <w:r>
        <w:rPr>
          <w:color w:val="5B6B75"/>
          <w:sz w:val="20"/>
          <w:szCs w:val="20"/>
        </w:rPr>
        <w:t xml:space="preserve">Before any partnership discussion, model the following at 1%, 2%, and 5% conversion:</w:t>
      </w:r>
    </w:p>
    <w:p>
      <w:pPr>
        <w:pStyle w:val="ListParagraph"/>
        <w:numPr>
          <w:ilvl w:val="0"/>
          <w:numId w:val="2"/>
        </w:numPr>
        <w:spacing w:after="60" w:before="60"/>
      </w:pPr>
      <w:r>
        <w:rPr>
          <w:color w:val="5B6B75"/>
          <w:sz w:val="20"/>
          <w:szCs w:val="20"/>
        </w:rPr>
        <w:t xml:space="preserve">Addressable audience size (realistic, not theoretical)</w:t>
      </w:r>
    </w:p>
    <w:p>
      <w:pPr>
        <w:pStyle w:val="ListParagraph"/>
        <w:numPr>
          <w:ilvl w:val="0"/>
          <w:numId w:val="2"/>
        </w:numPr>
        <w:spacing w:after="60" w:before="60"/>
      </w:pPr>
      <w:r>
        <w:rPr>
          <w:color w:val="5B6B75"/>
          <w:sz w:val="20"/>
          <w:szCs w:val="20"/>
        </w:rPr>
        <w:t xml:space="preserve">Cost per introduction / co-marketing fee / rev share rate</w:t>
      </w:r>
    </w:p>
    <w:p>
      <w:pPr>
        <w:pStyle w:val="ListParagraph"/>
        <w:numPr>
          <w:ilvl w:val="0"/>
          <w:numId w:val="2"/>
        </w:numPr>
        <w:spacing w:after="60" w:before="60"/>
      </w:pPr>
      <w:r>
        <w:rPr>
          <w:color w:val="5B6B75"/>
          <w:sz w:val="20"/>
          <w:szCs w:val="20"/>
        </w:rPr>
        <w:t xml:space="preserve">Average order value and margin at point of sale</w:t>
      </w:r>
    </w:p>
    <w:p>
      <w:pPr>
        <w:pStyle w:val="ListParagraph"/>
        <w:numPr>
          <w:ilvl w:val="0"/>
          <w:numId w:val="2"/>
        </w:numPr>
        <w:spacing w:after="60" w:before="60"/>
      </w:pPr>
      <w:r>
        <w:rPr>
          <w:color w:val="5B6B75"/>
          <w:sz w:val="20"/>
          <w:szCs w:val="20"/>
        </w:rPr>
        <w:t xml:space="preserve">Lifetime value if the relationship continues</w:t>
      </w:r>
    </w:p>
    <w:p>
      <w:pPr>
        <w:pStyle w:val="ListParagraph"/>
        <w:numPr>
          <w:ilvl w:val="0"/>
          <w:numId w:val="2"/>
        </w:numPr>
        <w:spacing w:after="60" w:before="60"/>
      </w:pPr>
      <w:r>
        <w:rPr>
          <w:color w:val="5B6B75"/>
          <w:sz w:val="20"/>
          <w:szCs w:val="20"/>
        </w:rPr>
        <w:t xml:space="preserve">Breakeven volume and months to recover cost of the test</w:t>
      </w:r>
    </w:p>
    <w:p>
      <w:r>
        <w:br w:type="page"/>
      </w:r>
    </w:p>
    <w:p>
      <w:pPr>
        <w:spacing w:after="80" w:before="400"/>
      </w:pPr>
      <w:r>
        <w:rPr>
          <w:b/>
          <w:bCs/>
          <w:color w:val="176F73"/>
          <w:spacing w:val="100"/>
          <w:sz w:val="16"/>
          <w:szCs w:val="16"/>
        </w:rPr>
        <w:t xml:space="preserve">SECTION 5</w:t>
      </w:r>
    </w:p>
    <w:p>
      <w:pPr>
        <w:pStyle w:val="Heading2"/>
        <w:spacing w:after="80" w:before="360"/>
      </w:pPr>
      <w:r>
        <w:rPr>
          <w:b/>
          <w:bCs/>
          <w:color w:val="24313A"/>
          <w:sz w:val="28"/>
          <w:szCs w:val="28"/>
        </w:rPr>
        <w:t xml:space="preserve">Pillar 3: Acquisitions &amp; Tuck-ins</w:t>
      </w:r>
    </w:p>
    <w:p>
      <w:pPr>
        <w:pBdr>
          <w:bottom w:val="single" w:color="DCE3E6" w:sz="6" w:space="1"/>
        </w:pBdr>
        <w:spacing w:after="160" w:before="0"/>
      </w:pPr>
      <w:r>
        <w:t xml:space="preserve"/>
      </w:r>
    </w:p>
    <w:p>
      <w:pPr>
        <w:spacing w:after="120" w:before="80"/>
      </w:pPr>
      <w:r>
        <w:rPr>
          <w:color w:val="5B6B75"/>
          <w:sz w:val="20"/>
          <w:szCs w:val="20"/>
        </w:rPr>
        <w:t xml:space="preserve">A tuck-in is not a growth strategy — it is an accelerant for a growth strategy that already exists. The question is never "could we acquire this?" It is "does acquiring this make the thing we are already building faster or cheaper to build?"</w:t>
      </w:r>
    </w:p>
    <w:p>
      <w:pPr>
        <w:spacing w:after="120" w:before="80"/>
      </w:pPr>
      <w:r>
        <w:rPr>
          <w:color w:val="5B6B75"/>
          <w:sz w:val="20"/>
          <w:szCs w:val="20"/>
        </w:rPr>
        <w:t xml:space="preserve">If the answer requires the acquisition to succeed for the underlying strategy to work, the acquisition is plugging a hole, not adding fuel.</w:t>
      </w:r>
    </w:p>
    <w:p>
      <w:pPr>
        <w:spacing w:after="0" w:before="120"/>
      </w:pPr>
      <w:r>
        <w:t xml:space="preserve"/>
      </w:r>
    </w:p>
    <w:p>
      <w:pPr>
        <w:pStyle w:val="Heading3"/>
        <w:spacing w:after="60" w:before="280"/>
      </w:pPr>
      <w:r>
        <w:rPr>
          <w:b/>
          <w:bCs/>
          <w:color w:val="176F73"/>
          <w:sz w:val="22"/>
          <w:szCs w:val="22"/>
        </w:rPr>
        <w:t xml:space="preserve">When a Tuck-in Makes Sense</w:t>
      </w:r>
    </w:p>
    <w:p>
      <w:pPr>
        <w:pStyle w:val="ListParagraph"/>
        <w:numPr>
          <w:ilvl w:val="0"/>
          <w:numId w:val="2"/>
        </w:numPr>
        <w:spacing w:after="60" w:before="60"/>
      </w:pPr>
      <w:r>
        <w:rPr>
          <w:color w:val="5B6B75"/>
          <w:sz w:val="20"/>
          <w:szCs w:val="20"/>
        </w:rPr>
        <w:t xml:space="preserve">The target brings a customer relationship or distribution channel we would otherwise spend 18–24 months building.</w:t>
      </w:r>
    </w:p>
    <w:p>
      <w:pPr>
        <w:pStyle w:val="ListParagraph"/>
        <w:numPr>
          <w:ilvl w:val="0"/>
          <w:numId w:val="2"/>
        </w:numPr>
        <w:spacing w:after="60" w:before="60"/>
      </w:pPr>
      <w:r>
        <w:rPr>
          <w:color w:val="5B6B75"/>
          <w:sz w:val="20"/>
          <w:szCs w:val="20"/>
        </w:rPr>
        <w:t xml:space="preserve">The target brings a capability (technology, license, team) that is genuinely faster to buy than build.</w:t>
      </w:r>
    </w:p>
    <w:p>
      <w:pPr>
        <w:pStyle w:val="ListParagraph"/>
        <w:numPr>
          <w:ilvl w:val="0"/>
          <w:numId w:val="2"/>
        </w:numPr>
        <w:spacing w:after="60" w:before="60"/>
      </w:pPr>
      <w:r>
        <w:rPr>
          <w:color w:val="5B6B75"/>
          <w:sz w:val="20"/>
          <w:szCs w:val="20"/>
        </w:rPr>
        <w:t xml:space="preserve">The economics of the combined entity are better than the sum of its parts at realistic integration cost.</w:t>
      </w:r>
    </w:p>
    <w:p>
      <w:pPr>
        <w:pStyle w:val="ListParagraph"/>
        <w:numPr>
          <w:ilvl w:val="0"/>
          <w:numId w:val="2"/>
        </w:numPr>
        <w:spacing w:after="60" w:before="60"/>
      </w:pPr>
      <w:r>
        <w:rPr>
          <w:color w:val="5B6B75"/>
          <w:sz w:val="20"/>
          <w:szCs w:val="20"/>
        </w:rPr>
        <w:t xml:space="preserve">The integration complexity is proportionate to the size of the business managing it.</w:t>
      </w:r>
    </w:p>
    <w:p>
      <w:pPr>
        <w:spacing w:after="0" w:before="120"/>
      </w:pPr>
      <w:r>
        <w:t xml:space="preserve"/>
      </w:r>
    </w:p>
    <w:p>
      <w:pPr>
        <w:pStyle w:val="Heading3"/>
        <w:spacing w:after="60" w:before="280"/>
      </w:pPr>
      <w:r>
        <w:rPr>
          <w:b/>
          <w:bCs/>
          <w:color w:val="176F73"/>
          <w:sz w:val="22"/>
          <w:szCs w:val="22"/>
        </w:rPr>
        <w:t xml:space="preserve">When to Walk Away</w:t>
      </w:r>
    </w:p>
    <w:p>
      <w:pPr>
        <w:pStyle w:val="ListParagraph"/>
        <w:numPr>
          <w:ilvl w:val="0"/>
          <w:numId w:val="2"/>
        </w:numPr>
        <w:spacing w:after="60" w:before="60"/>
      </w:pPr>
      <w:r>
        <w:rPr>
          <w:color w:val="5B6B75"/>
          <w:sz w:val="20"/>
          <w:szCs w:val="20"/>
        </w:rPr>
        <w:t xml:space="preserve">The deal is driven by the seller's timeline or the attractiveness of the asset, not by strategic fit.</w:t>
      </w:r>
    </w:p>
    <w:p>
      <w:pPr>
        <w:pStyle w:val="ListParagraph"/>
        <w:numPr>
          <w:ilvl w:val="0"/>
          <w:numId w:val="2"/>
        </w:numPr>
        <w:spacing w:after="60" w:before="60"/>
      </w:pPr>
      <w:r>
        <w:rPr>
          <w:color w:val="5B6B75"/>
          <w:sz w:val="20"/>
          <w:szCs w:val="20"/>
        </w:rPr>
        <w:t xml:space="preserve">The integration requires a different operating model than the acquirer currently runs.</w:t>
      </w:r>
    </w:p>
    <w:p>
      <w:pPr>
        <w:pStyle w:val="ListParagraph"/>
        <w:numPr>
          <w:ilvl w:val="0"/>
          <w:numId w:val="2"/>
        </w:numPr>
        <w:spacing w:after="60" w:before="60"/>
      </w:pPr>
      <w:r>
        <w:rPr>
          <w:color w:val="5B6B75"/>
          <w:sz w:val="20"/>
          <w:szCs w:val="20"/>
        </w:rPr>
        <w:t xml:space="preserve">The financial case depends on synergies that have not been tested in practice.</w:t>
      </w:r>
    </w:p>
    <w:p>
      <w:pPr>
        <w:pStyle w:val="ListParagraph"/>
        <w:numPr>
          <w:ilvl w:val="0"/>
          <w:numId w:val="2"/>
        </w:numPr>
        <w:spacing w:after="60" w:before="60"/>
      </w:pPr>
      <w:r>
        <w:rPr>
          <w:color w:val="5B6B75"/>
          <w:sz w:val="20"/>
          <w:szCs w:val="20"/>
        </w:rPr>
        <w:t xml:space="preserve">There is no clear answer to: "who runs this the day after close?"</w:t>
      </w:r>
    </w:p>
    <w:p>
      <w:pPr>
        <w:spacing w:after="0" w:before="120"/>
      </w:pPr>
      <w:r>
        <w:t xml:space="preserve"/>
      </w:r>
    </w:p>
    <w:p>
      <w:pPr>
        <w:pStyle w:val="Heading3"/>
        <w:spacing w:after="60" w:before="280"/>
      </w:pPr>
      <w:r>
        <w:rPr>
          <w:b/>
          <w:bCs/>
          <w:color w:val="176F73"/>
          <w:sz w:val="22"/>
          <w:szCs w:val="22"/>
        </w:rPr>
        <w:t xml:space="preserve">The RGP Acquisition Screen</w:t>
      </w:r>
    </w:p>
    <w:p>
      <w:pPr>
        <w:pStyle w:val="ListParagraph"/>
        <w:numPr>
          <w:ilvl w:val="0"/>
          <w:numId w:val="3"/>
        </w:numPr>
        <w:spacing w:after="60" w:before="60"/>
      </w:pPr>
      <w:r>
        <w:rPr>
          <w:color w:val="5B6B75"/>
          <w:sz w:val="20"/>
          <w:szCs w:val="20"/>
        </w:rPr>
        <w:t xml:space="preserve">Strategic fit — does this accelerate an existing pillar, or create a new dependency?</w:t>
      </w:r>
    </w:p>
    <w:p>
      <w:pPr>
        <w:pStyle w:val="ListParagraph"/>
        <w:numPr>
          <w:ilvl w:val="0"/>
          <w:numId w:val="3"/>
        </w:numPr>
        <w:spacing w:after="60" w:before="60"/>
      </w:pPr>
      <w:r>
        <w:rPr>
          <w:color w:val="5B6B75"/>
          <w:sz w:val="20"/>
          <w:szCs w:val="20"/>
        </w:rPr>
        <w:t xml:space="preserve">Operational fit — can the acquirer's team integrate this without a step-change in complexity?</w:t>
      </w:r>
    </w:p>
    <w:p>
      <w:pPr>
        <w:pStyle w:val="ListParagraph"/>
        <w:numPr>
          <w:ilvl w:val="0"/>
          <w:numId w:val="3"/>
        </w:numPr>
        <w:spacing w:after="60" w:before="60"/>
      </w:pPr>
      <w:r>
        <w:rPr>
          <w:color w:val="5B6B75"/>
          <w:sz w:val="20"/>
          <w:szCs w:val="20"/>
        </w:rPr>
        <w:t xml:space="preserve">Financial case — what are the unit economics at base case, not best case?</w:t>
      </w:r>
    </w:p>
    <w:p>
      <w:pPr>
        <w:pStyle w:val="ListParagraph"/>
        <w:numPr>
          <w:ilvl w:val="0"/>
          <w:numId w:val="3"/>
        </w:numPr>
        <w:spacing w:after="60" w:before="60"/>
      </w:pPr>
      <w:r>
        <w:rPr>
          <w:color w:val="5B6B75"/>
          <w:sz w:val="20"/>
          <w:szCs w:val="20"/>
        </w:rPr>
        <w:t xml:space="preserve">Integration plan — who owns what on Day 1, Day 30, and Day 90?</w:t>
      </w:r>
    </w:p>
    <w:p>
      <w:pPr>
        <w:pStyle w:val="ListParagraph"/>
        <w:numPr>
          <w:ilvl w:val="0"/>
          <w:numId w:val="3"/>
        </w:numPr>
        <w:spacing w:after="60" w:before="60"/>
      </w:pPr>
      <w:r>
        <w:rPr>
          <w:color w:val="5B6B75"/>
          <w:sz w:val="20"/>
          <w:szCs w:val="20"/>
        </w:rPr>
        <w:t xml:space="preserve">Exit hypothesis — what does success look like, and how long does it take to know?</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F73" w:sz="12"/>
              <w:left w:val="single" w:color="DCE3E6" w:sz="4"/>
              <w:bottom w:val="single" w:color="DCE3E6" w:sz="4"/>
              <w:right w:val="single" w:color="DCE3E6" w:sz="4"/>
            </w:tcBorders>
            <w:shd w:fill="EBF5F5" w:color="auto" w:val="clear"/>
            <w:tcMar>
              <w:top w:type="dxa" w:w="120"/>
              <w:left w:type="dxa" w:w="180"/>
              <w:bottom w:type="dxa" w:w="120"/>
              <w:right w:type="dxa" w:w="180"/>
            </w:tcMar>
          </w:tcPr>
          <w:p>
            <w:pPr>
              <w:spacing w:after="60" w:before="0"/>
            </w:pPr>
            <w:r>
              <w:rPr>
                <w:b/>
                <w:bCs/>
                <w:color w:val="176F73"/>
                <w:sz w:val="20"/>
                <w:szCs w:val="20"/>
              </w:rPr>
              <w:t xml:space="preserve">Principle</w:t>
            </w:r>
          </w:p>
          <w:p>
            <w:pPr>
              <w:spacing w:after="0" w:before="0"/>
            </w:pPr>
            <w:r>
              <w:rPr>
                <w:color w:val="24313A"/>
                <w:sz w:val="19"/>
                <w:szCs w:val="19"/>
              </w:rPr>
              <w:t xml:space="preserve">We do not earn on transaction close. Our incentive is for the acquisition to make the client's business better, not for the deal to happen. If the screen does not pass, we say so.</w:t>
            </w:r>
          </w:p>
        </w:tc>
      </w:tr>
    </w:tbl>
    <w:p>
      <w:r>
        <w:br w:type="page"/>
      </w:r>
    </w:p>
    <w:p>
      <w:pPr>
        <w:spacing w:after="80" w:before="400"/>
      </w:pPr>
      <w:r>
        <w:rPr>
          <w:b/>
          <w:bCs/>
          <w:color w:val="176F73"/>
          <w:spacing w:val="100"/>
          <w:sz w:val="16"/>
          <w:szCs w:val="16"/>
        </w:rPr>
        <w:t xml:space="preserve">SECTION 6</w:t>
      </w:r>
    </w:p>
    <w:p>
      <w:pPr>
        <w:pStyle w:val="Heading2"/>
        <w:spacing w:after="80" w:before="360"/>
      </w:pPr>
      <w:r>
        <w:rPr>
          <w:b/>
          <w:bCs/>
          <w:color w:val="24313A"/>
          <w:sz w:val="28"/>
          <w:szCs w:val="28"/>
        </w:rPr>
        <w:t xml:space="preserve">Client Engagement Model</w:t>
      </w:r>
    </w:p>
    <w:p>
      <w:pPr>
        <w:pBdr>
          <w:bottom w:val="single" w:color="DCE3E6" w:sz="6" w:space="1"/>
        </w:pBdr>
        <w:spacing w:after="160" w:before="0"/>
      </w:pPr>
      <w:r>
        <w:t xml:space="preserve"/>
      </w:r>
    </w:p>
    <w:p>
      <w:pPr>
        <w:spacing w:after="120" w:before="80"/>
      </w:pPr>
      <w:r>
        <w:rPr>
          <w:color w:val="5B6B75"/>
          <w:sz w:val="20"/>
          <w:szCs w:val="20"/>
        </w:rPr>
        <w:t xml:space="preserve">Every RGP engagement follows the same arc: identify where growth is blocked, build the structure that unblocks it, run the first tests, and hand off a system the client can operate without us.</w:t>
      </w:r>
    </w:p>
    <w:p>
      <w:pPr>
        <w:spacing w:after="0" w:before="120"/>
      </w:pPr>
      <w:r>
        <w:t xml:space="preserve"/>
      </w:r>
    </w:p>
    <w:p>
      <w:pPr>
        <w:pStyle w:val="Heading3"/>
        <w:spacing w:after="60" w:before="280"/>
      </w:pPr>
      <w:r>
        <w:rPr>
          <w:b/>
          <w:bCs/>
          <w:color w:val="176F73"/>
          <w:sz w:val="22"/>
          <w:szCs w:val="22"/>
        </w:rPr>
        <w:t xml:space="preserve">Phase 1 — Growth Audit (Weeks 1–2)</w:t>
      </w:r>
    </w:p>
    <w:p>
      <w:pPr>
        <w:spacing w:after="120" w:before="80"/>
      </w:pPr>
      <w:r>
        <w:rPr>
          <w:color w:val="5B6B75"/>
          <w:sz w:val="20"/>
          <w:szCs w:val="20"/>
        </w:rPr>
        <w:t xml:space="preserve">Before committing to a direction, understand what is actually blocking growth.</w:t>
      </w:r>
    </w:p>
    <w:p>
      <w:pPr>
        <w:pStyle w:val="ListParagraph"/>
        <w:numPr>
          <w:ilvl w:val="0"/>
          <w:numId w:val="2"/>
        </w:numPr>
        <w:spacing w:after="60" w:before="60"/>
      </w:pPr>
      <w:r>
        <w:rPr>
          <w:color w:val="5B6B75"/>
          <w:sz w:val="20"/>
          <w:szCs w:val="20"/>
        </w:rPr>
        <w:t xml:space="preserve">Map current revenue by channel, customer type, and margin.</w:t>
      </w:r>
    </w:p>
    <w:p>
      <w:pPr>
        <w:pStyle w:val="ListParagraph"/>
        <w:numPr>
          <w:ilvl w:val="0"/>
          <w:numId w:val="2"/>
        </w:numPr>
        <w:spacing w:after="60" w:before="60"/>
      </w:pPr>
      <w:r>
        <w:rPr>
          <w:color w:val="5B6B75"/>
          <w:sz w:val="20"/>
          <w:szCs w:val="20"/>
        </w:rPr>
        <w:t xml:space="preserve">Identify the two or three constraints that, if removed, would change the trajectory.</w:t>
      </w:r>
    </w:p>
    <w:p>
      <w:pPr>
        <w:pStyle w:val="ListParagraph"/>
        <w:numPr>
          <w:ilvl w:val="0"/>
          <w:numId w:val="2"/>
        </w:numPr>
        <w:spacing w:after="60" w:before="60"/>
      </w:pPr>
      <w:r>
        <w:rPr>
          <w:color w:val="5B6B75"/>
          <w:sz w:val="20"/>
          <w:szCs w:val="20"/>
        </w:rPr>
        <w:t xml:space="preserve">Audit existing marketing, sales, and CRM infrastructure.</w:t>
      </w:r>
    </w:p>
    <w:p>
      <w:pPr>
        <w:pStyle w:val="ListParagraph"/>
        <w:numPr>
          <w:ilvl w:val="0"/>
          <w:numId w:val="2"/>
        </w:numPr>
        <w:spacing w:after="60" w:before="60"/>
      </w:pPr>
      <w:r>
        <w:rPr>
          <w:color w:val="5B6B75"/>
          <w:sz w:val="20"/>
          <w:szCs w:val="20"/>
        </w:rPr>
        <w:t xml:space="preserve">Score the partner and acquisition landscape against the rubric.</w:t>
      </w:r>
    </w:p>
    <w:p>
      <w:pPr>
        <w:pStyle w:val="ListParagraph"/>
        <w:numPr>
          <w:ilvl w:val="0"/>
          <w:numId w:val="2"/>
        </w:numPr>
        <w:spacing w:after="60" w:before="60"/>
      </w:pPr>
      <w:r>
        <w:rPr>
          <w:color w:val="5B6B75"/>
          <w:sz w:val="20"/>
          <w:szCs w:val="20"/>
        </w:rPr>
        <w:t xml:space="preserve">Produce a written audit: here is where you are, here is what is blocking you, here is the sequence.</w:t>
      </w:r>
    </w:p>
    <w:p>
      <w:pPr>
        <w:spacing w:after="0" w:before="120"/>
      </w:pPr>
      <w:r>
        <w:t xml:space="preserve"/>
      </w:r>
    </w:p>
    <w:p>
      <w:pPr>
        <w:pStyle w:val="Heading3"/>
        <w:spacing w:after="60" w:before="280"/>
      </w:pPr>
      <w:r>
        <w:rPr>
          <w:b/>
          <w:bCs/>
          <w:color w:val="176F73"/>
          <w:sz w:val="22"/>
          <w:szCs w:val="22"/>
        </w:rPr>
        <w:t xml:space="preserve">Phase 2 — Structure (Weeks 3–6)</w:t>
      </w:r>
    </w:p>
    <w:p>
      <w:pPr>
        <w:spacing w:after="120" w:before="80"/>
      </w:pPr>
      <w:r>
        <w:rPr>
          <w:color w:val="5B6B75"/>
          <w:sz w:val="20"/>
          <w:szCs w:val="20"/>
        </w:rPr>
        <w:t xml:space="preserve">Build the shared language and operating infrastructure the work requires.</w:t>
      </w:r>
    </w:p>
    <w:p>
      <w:pPr>
        <w:pStyle w:val="ListParagraph"/>
        <w:numPr>
          <w:ilvl w:val="0"/>
          <w:numId w:val="2"/>
        </w:numPr>
        <w:spacing w:after="60" w:before="60"/>
      </w:pPr>
      <w:r>
        <w:rPr>
          <w:color w:val="5B6B75"/>
          <w:sz w:val="20"/>
          <w:szCs w:val="20"/>
        </w:rPr>
        <w:t xml:space="preserve">Define the ICP (ideal customer profile) and the offer for each segment.</w:t>
      </w:r>
    </w:p>
    <w:p>
      <w:pPr>
        <w:pStyle w:val="ListParagraph"/>
        <w:numPr>
          <w:ilvl w:val="0"/>
          <w:numId w:val="2"/>
        </w:numPr>
        <w:spacing w:after="60" w:before="60"/>
      </w:pPr>
      <w:r>
        <w:rPr>
          <w:color w:val="5B6B75"/>
          <w:sz w:val="20"/>
          <w:szCs w:val="20"/>
        </w:rPr>
        <w:t xml:space="preserve">Build or rebuild the funnel: capture, nurture, conversion.</w:t>
      </w:r>
    </w:p>
    <w:p>
      <w:pPr>
        <w:pStyle w:val="ListParagraph"/>
        <w:numPr>
          <w:ilvl w:val="0"/>
          <w:numId w:val="2"/>
        </w:numPr>
        <w:spacing w:after="60" w:before="60"/>
      </w:pPr>
      <w:r>
        <w:rPr>
          <w:color w:val="5B6B75"/>
          <w:sz w:val="20"/>
          <w:szCs w:val="20"/>
        </w:rPr>
        <w:t xml:space="preserve">Stand up CRM scoring, routing, and SLA alerts.</w:t>
      </w:r>
    </w:p>
    <w:p>
      <w:pPr>
        <w:pStyle w:val="ListParagraph"/>
        <w:numPr>
          <w:ilvl w:val="0"/>
          <w:numId w:val="2"/>
        </w:numPr>
        <w:spacing w:after="60" w:before="60"/>
      </w:pPr>
      <w:r>
        <w:rPr>
          <w:color w:val="5B6B75"/>
          <w:sz w:val="20"/>
          <w:szCs w:val="20"/>
        </w:rPr>
        <w:t xml:space="preserve">Establish the weekly operating rhythm: what gets reviewed, who owns it, what triggers action.</w:t>
      </w:r>
    </w:p>
    <w:p>
      <w:pPr>
        <w:spacing w:after="0" w:before="120"/>
      </w:pPr>
      <w:r>
        <w:t xml:space="preserve"/>
      </w:r>
    </w:p>
    <w:p>
      <w:pPr>
        <w:pStyle w:val="Heading3"/>
        <w:spacing w:after="60" w:before="280"/>
      </w:pPr>
      <w:r>
        <w:rPr>
          <w:b/>
          <w:bCs/>
          <w:color w:val="176F73"/>
          <w:sz w:val="22"/>
          <w:szCs w:val="22"/>
        </w:rPr>
        <w:t xml:space="preserve">Phase 3 — Test &amp; Iterate (Weeks 6–16)</w:t>
      </w:r>
    </w:p>
    <w:p>
      <w:pPr>
        <w:spacing w:after="120" w:before="80"/>
      </w:pPr>
      <w:r>
        <w:rPr>
          <w:color w:val="5B6B75"/>
          <w:sz w:val="20"/>
          <w:szCs w:val="20"/>
        </w:rPr>
        <w:t xml:space="preserve">Run the first tests with discipline. Read results against pre-set conditions. Iterate.</w:t>
      </w:r>
    </w:p>
    <w:p>
      <w:pPr>
        <w:pStyle w:val="ListParagraph"/>
        <w:numPr>
          <w:ilvl w:val="0"/>
          <w:numId w:val="2"/>
        </w:numPr>
        <w:spacing w:after="60" w:before="60"/>
      </w:pPr>
      <w:r>
        <w:rPr>
          <w:color w:val="5B6B75"/>
          <w:sz w:val="20"/>
          <w:szCs w:val="20"/>
        </w:rPr>
        <w:t xml:space="preserve">Activate the first two to three channels or partnerships.</w:t>
      </w:r>
    </w:p>
    <w:p>
      <w:pPr>
        <w:pStyle w:val="ListParagraph"/>
        <w:numPr>
          <w:ilvl w:val="0"/>
          <w:numId w:val="2"/>
        </w:numPr>
        <w:spacing w:after="60" w:before="60"/>
      </w:pPr>
      <w:r>
        <w:rPr>
          <w:color w:val="5B6B75"/>
          <w:sz w:val="20"/>
          <w:szCs w:val="20"/>
        </w:rPr>
        <w:t xml:space="preserve">Hold to the test/pilot distinction: no pivots mid-flight.</w:t>
      </w:r>
    </w:p>
    <w:p>
      <w:pPr>
        <w:pStyle w:val="ListParagraph"/>
        <w:numPr>
          <w:ilvl w:val="0"/>
          <w:numId w:val="2"/>
        </w:numPr>
        <w:spacing w:after="60" w:before="60"/>
      </w:pPr>
      <w:r>
        <w:rPr>
          <w:color w:val="5B6B75"/>
          <w:sz w:val="20"/>
          <w:szCs w:val="20"/>
        </w:rPr>
        <w:t xml:space="preserve">Review weekly against the operating rhythm.</w:t>
      </w:r>
    </w:p>
    <w:p>
      <w:pPr>
        <w:pStyle w:val="ListParagraph"/>
        <w:numPr>
          <w:ilvl w:val="0"/>
          <w:numId w:val="2"/>
        </w:numPr>
        <w:spacing w:after="60" w:before="60"/>
      </w:pPr>
      <w:r>
        <w:rPr>
          <w:color w:val="5B6B75"/>
          <w:sz w:val="20"/>
          <w:szCs w:val="20"/>
        </w:rPr>
        <w:t xml:space="preserve">Document every result: what worked, what did not, what the next test is.</w:t>
      </w:r>
    </w:p>
    <w:p>
      <w:pPr>
        <w:spacing w:after="0" w:before="120"/>
      </w:pPr>
      <w:r>
        <w:t xml:space="preserve"/>
      </w:r>
    </w:p>
    <w:p>
      <w:pPr>
        <w:pStyle w:val="Heading3"/>
        <w:spacing w:after="60" w:before="280"/>
      </w:pPr>
      <w:r>
        <w:rPr>
          <w:b/>
          <w:bCs/>
          <w:color w:val="176F73"/>
          <w:sz w:val="22"/>
          <w:szCs w:val="22"/>
        </w:rPr>
        <w:t xml:space="preserve">Phase 4 — Handoff</w:t>
      </w:r>
    </w:p>
    <w:p>
      <w:pPr>
        <w:spacing w:after="120" w:before="80"/>
      </w:pPr>
      <w:r>
        <w:rPr>
          <w:color w:val="5B6B75"/>
          <w:sz w:val="20"/>
          <w:szCs w:val="20"/>
        </w:rPr>
        <w:t xml:space="preserve">The engagement ends when the system is embedded and the client can run it.</w:t>
      </w:r>
    </w:p>
    <w:p>
      <w:pPr>
        <w:pStyle w:val="ListParagraph"/>
        <w:numPr>
          <w:ilvl w:val="0"/>
          <w:numId w:val="2"/>
        </w:numPr>
        <w:spacing w:after="60" w:before="60"/>
      </w:pPr>
      <w:r>
        <w:rPr>
          <w:color w:val="5B6B75"/>
          <w:sz w:val="20"/>
          <w:szCs w:val="20"/>
        </w:rPr>
        <w:t xml:space="preserve">Document the full growth system: what is running, what the metrics mean, who owns what.</w:t>
      </w:r>
    </w:p>
    <w:p>
      <w:pPr>
        <w:pStyle w:val="ListParagraph"/>
        <w:numPr>
          <w:ilvl w:val="0"/>
          <w:numId w:val="2"/>
        </w:numPr>
        <w:spacing w:after="60" w:before="60"/>
      </w:pPr>
      <w:r>
        <w:rPr>
          <w:color w:val="5B6B75"/>
          <w:sz w:val="20"/>
          <w:szCs w:val="20"/>
        </w:rPr>
        <w:t xml:space="preserve">Train the internal team on the operating rhythm.</w:t>
      </w:r>
    </w:p>
    <w:p>
      <w:pPr>
        <w:pStyle w:val="ListParagraph"/>
        <w:numPr>
          <w:ilvl w:val="0"/>
          <w:numId w:val="2"/>
        </w:numPr>
        <w:spacing w:after="60" w:before="60"/>
      </w:pPr>
      <w:r>
        <w:rPr>
          <w:color w:val="5B6B75"/>
          <w:sz w:val="20"/>
          <w:szCs w:val="20"/>
        </w:rPr>
        <w:t xml:space="preserve">Define the trigger conditions for the next phase of work.</w:t>
      </w:r>
    </w:p>
    <w:p>
      <w:pPr>
        <w:pStyle w:val="ListParagraph"/>
        <w:numPr>
          <w:ilvl w:val="0"/>
          <w:numId w:val="2"/>
        </w:numPr>
        <w:spacing w:after="60" w:before="60"/>
      </w:pPr>
      <w:r>
        <w:rPr>
          <w:color w:val="5B6B75"/>
          <w:sz w:val="20"/>
          <w:szCs w:val="20"/>
        </w:rPr>
        <w:t xml:space="preserve">Produce a handoff brief: the state of the business, the open experiments, and the recommended next 90 days.</w:t>
      </w:r>
    </w:p>
    <w:p>
      <w:pPr>
        <w:spacing w:after="0" w:before="200"/>
      </w:pPr>
      <w:r>
        <w:t xml:space="preserve"/>
      </w:r>
    </w:p>
    <w:p>
      <w:pPr>
        <w:pStyle w:val="Heading3"/>
        <w:spacing w:after="60" w:before="280"/>
      </w:pPr>
      <w:r>
        <w:rPr>
          <w:b/>
          <w:bCs/>
          <w:color w:val="176F73"/>
          <w:sz w:val="22"/>
          <w:szCs w:val="22"/>
        </w:rPr>
        <w:t xml:space="preserve">The Weekly Operating Rhythm</w:t>
      </w:r>
    </w:p>
    <w:p>
      <w:pPr>
        <w:spacing w:after="120" w:before="80"/>
      </w:pPr>
      <w:r>
        <w:rPr>
          <w:color w:val="5B6B75"/>
          <w:sz w:val="20"/>
          <w:szCs w:val="20"/>
        </w:rPr>
        <w:t xml:space="preserve">Every active engagement runs on a weekly review. The format is the same regardless of phase:</w:t>
      </w:r>
    </w:p>
    <w:p>
      <w:pPr>
        <w:pStyle w:val="ListParagraph"/>
        <w:numPr>
          <w:ilvl w:val="0"/>
          <w:numId w:val="2"/>
        </w:numPr>
        <w:spacing w:after="60" w:before="60"/>
      </w:pPr>
      <w:r>
        <w:rPr>
          <w:color w:val="5B6B75"/>
          <w:sz w:val="20"/>
          <w:szCs w:val="20"/>
        </w:rPr>
        <w:t xml:space="preserve">What tests are live — and what is the current read?</w:t>
      </w:r>
    </w:p>
    <w:p>
      <w:pPr>
        <w:pStyle w:val="ListParagraph"/>
        <w:numPr>
          <w:ilvl w:val="0"/>
          <w:numId w:val="2"/>
        </w:numPr>
        <w:spacing w:after="60" w:before="60"/>
      </w:pPr>
      <w:r>
        <w:rPr>
          <w:color w:val="5B6B75"/>
          <w:sz w:val="20"/>
          <w:szCs w:val="20"/>
        </w:rPr>
        <w:t xml:space="preserve">What was the result of anything that concluded?</w:t>
      </w:r>
    </w:p>
    <w:p>
      <w:pPr>
        <w:pStyle w:val="ListParagraph"/>
        <w:numPr>
          <w:ilvl w:val="0"/>
          <w:numId w:val="2"/>
        </w:numPr>
        <w:spacing w:after="60" w:before="60"/>
      </w:pPr>
      <w:r>
        <w:rPr>
          <w:color w:val="5B6B75"/>
          <w:sz w:val="20"/>
          <w:szCs w:val="20"/>
        </w:rPr>
        <w:t xml:space="preserve">What is the one decision that needs to be made this week?</w:t>
      </w:r>
    </w:p>
    <w:p>
      <w:pPr>
        <w:pStyle w:val="ListParagraph"/>
        <w:numPr>
          <w:ilvl w:val="0"/>
          <w:numId w:val="2"/>
        </w:numPr>
        <w:spacing w:after="60" w:before="60"/>
      </w:pPr>
      <w:r>
        <w:rPr>
          <w:color w:val="5B6B75"/>
          <w:sz w:val="20"/>
          <w:szCs w:val="20"/>
        </w:rPr>
        <w:t xml:space="preserve">What is on the horizon that we need to be preparing now?</w:t>
      </w:r>
    </w:p>
    <w:p>
      <w:r>
        <w:br w:type="page"/>
      </w:r>
    </w:p>
    <w:p>
      <w:pPr>
        <w:spacing w:after="80" w:before="400"/>
      </w:pPr>
      <w:r>
        <w:rPr>
          <w:b/>
          <w:bCs/>
          <w:color w:val="176F73"/>
          <w:spacing w:val="100"/>
          <w:sz w:val="16"/>
          <w:szCs w:val="16"/>
        </w:rPr>
        <w:t xml:space="preserve">SECTION 7</w:t>
      </w:r>
    </w:p>
    <w:p>
      <w:pPr>
        <w:pStyle w:val="Heading2"/>
        <w:spacing w:after="80" w:before="360"/>
      </w:pPr>
      <w:r>
        <w:rPr>
          <w:b/>
          <w:bCs/>
          <w:color w:val="24313A"/>
          <w:sz w:val="28"/>
          <w:szCs w:val="28"/>
        </w:rPr>
        <w:t xml:space="preserve">RGP Best Practices</w:t>
      </w:r>
    </w:p>
    <w:p>
      <w:pPr>
        <w:pBdr>
          <w:bottom w:val="single" w:color="DCE3E6" w:sz="6" w:space="1"/>
        </w:pBdr>
        <w:spacing w:after="160" w:before="0"/>
      </w:pPr>
      <w:r>
        <w:t xml:space="preserve"/>
      </w:r>
    </w:p>
    <w:p>
      <w:pPr>
        <w:pStyle w:val="Heading3"/>
        <w:spacing w:after="60" w:before="280"/>
      </w:pPr>
      <w:r>
        <w:rPr>
          <w:b/>
          <w:bCs/>
          <w:color w:val="176F73"/>
          <w:sz w:val="22"/>
          <w:szCs w:val="22"/>
        </w:rPr>
        <w:t xml:space="preserve">On Positioning</w:t>
      </w:r>
    </w:p>
    <w:p>
      <w:pPr>
        <w:pStyle w:val="ListParagraph"/>
        <w:numPr>
          <w:ilvl w:val="0"/>
          <w:numId w:val="2"/>
        </w:numPr>
        <w:spacing w:after="60" w:before="60"/>
      </w:pPr>
      <w:r>
        <w:rPr>
          <w:color w:val="5B6B75"/>
          <w:sz w:val="20"/>
          <w:szCs w:val="20"/>
        </w:rPr>
        <w:t xml:space="preserve">Diffuse positioning is almost always the first thing to fix. One story, one funnel, one source of truth.</w:t>
      </w:r>
    </w:p>
    <w:p>
      <w:pPr>
        <w:pStyle w:val="ListParagraph"/>
        <w:numPr>
          <w:ilvl w:val="0"/>
          <w:numId w:val="2"/>
        </w:numPr>
        <w:spacing w:after="60" w:before="60"/>
      </w:pPr>
      <w:r>
        <w:rPr>
          <w:color w:val="5B6B75"/>
          <w:sz w:val="20"/>
          <w:szCs w:val="20"/>
        </w:rPr>
        <w:t xml:space="preserve">The ICP is not the customer you have — it is the customer for whom your economics work best at scale.</w:t>
      </w:r>
    </w:p>
    <w:p>
      <w:pPr>
        <w:pStyle w:val="ListParagraph"/>
        <w:numPr>
          <w:ilvl w:val="0"/>
          <w:numId w:val="2"/>
        </w:numPr>
        <w:spacing w:after="60" w:before="60"/>
      </w:pPr>
      <w:r>
        <w:rPr>
          <w:color w:val="5B6B75"/>
          <w:sz w:val="20"/>
          <w:szCs w:val="20"/>
        </w:rPr>
        <w:t xml:space="preserve">Clarity on the ICP changes everything downstream: the channel, the offer, the partnership criteria.</w:t>
      </w:r>
    </w:p>
    <w:p>
      <w:pPr>
        <w:spacing w:after="0" w:before="120"/>
      </w:pPr>
      <w:r>
        <w:t xml:space="preserve"/>
      </w:r>
    </w:p>
    <w:p>
      <w:pPr>
        <w:pStyle w:val="Heading3"/>
        <w:spacing w:after="60" w:before="280"/>
      </w:pPr>
      <w:r>
        <w:rPr>
          <w:b/>
          <w:bCs/>
          <w:color w:val="176F73"/>
          <w:sz w:val="22"/>
          <w:szCs w:val="22"/>
        </w:rPr>
        <w:t xml:space="preserve">On Testing</w:t>
      </w:r>
    </w:p>
    <w:p>
      <w:pPr>
        <w:pStyle w:val="ListParagraph"/>
        <w:numPr>
          <w:ilvl w:val="0"/>
          <w:numId w:val="2"/>
        </w:numPr>
        <w:spacing w:after="60" w:before="60"/>
      </w:pPr>
      <w:r>
        <w:rPr>
          <w:color w:val="5B6B75"/>
          <w:sz w:val="20"/>
          <w:szCs w:val="20"/>
        </w:rPr>
        <w:t xml:space="preserve">Never start a test without a written success condition.</w:t>
      </w:r>
    </w:p>
    <w:p>
      <w:pPr>
        <w:pStyle w:val="ListParagraph"/>
        <w:numPr>
          <w:ilvl w:val="0"/>
          <w:numId w:val="2"/>
        </w:numPr>
        <w:spacing w:after="60" w:before="60"/>
      </w:pPr>
      <w:r>
        <w:rPr>
          <w:color w:val="5B6B75"/>
          <w:sz w:val="20"/>
          <w:szCs w:val="20"/>
        </w:rPr>
        <w:t xml:space="preserve">Never read a test result without checking the volume first.</w:t>
      </w:r>
    </w:p>
    <w:p>
      <w:pPr>
        <w:pStyle w:val="ListParagraph"/>
        <w:numPr>
          <w:ilvl w:val="0"/>
          <w:numId w:val="2"/>
        </w:numPr>
        <w:spacing w:after="60" w:before="60"/>
      </w:pPr>
      <w:r>
        <w:rPr>
          <w:color w:val="5B6B75"/>
          <w:sz w:val="20"/>
          <w:szCs w:val="20"/>
        </w:rPr>
        <w:t xml:space="preserve">Never run two tests that share a variable.</w:t>
      </w:r>
    </w:p>
    <w:p>
      <w:pPr>
        <w:pStyle w:val="ListParagraph"/>
        <w:numPr>
          <w:ilvl w:val="0"/>
          <w:numId w:val="2"/>
        </w:numPr>
        <w:spacing w:after="60" w:before="60"/>
      </w:pPr>
      <w:r>
        <w:rPr>
          <w:color w:val="5B6B75"/>
          <w:sz w:val="20"/>
          <w:szCs w:val="20"/>
        </w:rPr>
        <w:t xml:space="preserve">The fastest way to waste a quarter is to call a pilot a test.</w:t>
      </w:r>
    </w:p>
    <w:p>
      <w:pPr>
        <w:spacing w:after="0" w:before="120"/>
      </w:pPr>
      <w:r>
        <w:t xml:space="preserve"/>
      </w:r>
    </w:p>
    <w:p>
      <w:pPr>
        <w:pStyle w:val="Heading3"/>
        <w:spacing w:after="60" w:before="280"/>
      </w:pPr>
      <w:r>
        <w:rPr>
          <w:b/>
          <w:bCs/>
          <w:color w:val="176F73"/>
          <w:sz w:val="22"/>
          <w:szCs w:val="22"/>
        </w:rPr>
        <w:t xml:space="preserve">On Partnerships</w:t>
      </w:r>
    </w:p>
    <w:p>
      <w:pPr>
        <w:pStyle w:val="ListParagraph"/>
        <w:numPr>
          <w:ilvl w:val="0"/>
          <w:numId w:val="2"/>
        </w:numPr>
        <w:spacing w:after="60" w:before="60"/>
      </w:pPr>
      <w:r>
        <w:rPr>
          <w:color w:val="5B6B75"/>
          <w:sz w:val="20"/>
          <w:szCs w:val="20"/>
        </w:rPr>
        <w:t xml:space="preserve">Score every candidate before any conversation. Enthusiasm from a partner is not a criterion.</w:t>
      </w:r>
    </w:p>
    <w:p>
      <w:pPr>
        <w:pStyle w:val="ListParagraph"/>
        <w:numPr>
          <w:ilvl w:val="0"/>
          <w:numId w:val="2"/>
        </w:numPr>
        <w:spacing w:after="60" w:before="60"/>
      </w:pPr>
      <w:r>
        <w:rPr>
          <w:color w:val="5B6B75"/>
          <w:sz w:val="20"/>
          <w:szCs w:val="20"/>
        </w:rPr>
        <w:t xml:space="preserve">The right first partner is the one that makes the next conversation easier.</w:t>
      </w:r>
    </w:p>
    <w:p>
      <w:pPr>
        <w:pStyle w:val="ListParagraph"/>
        <w:numPr>
          <w:ilvl w:val="0"/>
          <w:numId w:val="2"/>
        </w:numPr>
        <w:spacing w:after="60" w:before="60"/>
      </w:pPr>
      <w:r>
        <w:rPr>
          <w:color w:val="5B6B75"/>
          <w:sz w:val="20"/>
          <w:szCs w:val="20"/>
        </w:rPr>
        <w:t xml:space="preserve">Do not negotiate exclusivity before you understand the ceiling.</w:t>
      </w:r>
    </w:p>
    <w:p>
      <w:pPr>
        <w:pStyle w:val="ListParagraph"/>
        <w:numPr>
          <w:ilvl w:val="0"/>
          <w:numId w:val="2"/>
        </w:numPr>
        <w:spacing w:after="60" w:before="60"/>
      </w:pPr>
      <w:r>
        <w:rPr>
          <w:color w:val="5B6B75"/>
          <w:sz w:val="20"/>
          <w:szCs w:val="20"/>
        </w:rPr>
        <w:t xml:space="preserve">Name the conflicts. A partner who does not know about competing relationships is a partner you will lose.</w:t>
      </w:r>
    </w:p>
    <w:p>
      <w:pPr>
        <w:spacing w:after="0" w:before="120"/>
      </w:pPr>
      <w:r>
        <w:t xml:space="preserve"/>
      </w:r>
    </w:p>
    <w:p>
      <w:pPr>
        <w:pStyle w:val="Heading3"/>
        <w:spacing w:after="60" w:before="280"/>
      </w:pPr>
      <w:r>
        <w:rPr>
          <w:b/>
          <w:bCs/>
          <w:color w:val="176F73"/>
          <w:sz w:val="22"/>
          <w:szCs w:val="22"/>
        </w:rPr>
        <w:t xml:space="preserve">On Advisory and Governance</w:t>
      </w:r>
    </w:p>
    <w:p>
      <w:pPr>
        <w:pStyle w:val="ListParagraph"/>
        <w:numPr>
          <w:ilvl w:val="0"/>
          <w:numId w:val="2"/>
        </w:numPr>
        <w:spacing w:after="60" w:before="60"/>
      </w:pPr>
      <w:r>
        <w:rPr>
          <w:color w:val="5B6B75"/>
          <w:sz w:val="20"/>
          <w:szCs w:val="20"/>
        </w:rPr>
        <w:t xml:space="preserve">Family businesses often wait too long to build external advisory benches. Build early.</w:t>
      </w:r>
    </w:p>
    <w:p>
      <w:pPr>
        <w:pStyle w:val="ListParagraph"/>
        <w:numPr>
          <w:ilvl w:val="0"/>
          <w:numId w:val="2"/>
        </w:numPr>
        <w:spacing w:after="60" w:before="60"/>
      </w:pPr>
      <w:r>
        <w:rPr>
          <w:color w:val="5B6B75"/>
          <w:sz w:val="20"/>
          <w:szCs w:val="20"/>
        </w:rPr>
        <w:t xml:space="preserve">The value of outside judgment is not expertise — it is permission to challenge instinct.</w:t>
      </w:r>
    </w:p>
    <w:p>
      <w:pPr>
        <w:pStyle w:val="ListParagraph"/>
        <w:numPr>
          <w:ilvl w:val="0"/>
          <w:numId w:val="2"/>
        </w:numPr>
        <w:spacing w:after="60" w:before="60"/>
      </w:pPr>
      <w:r>
        <w:rPr>
          <w:color w:val="5B6B75"/>
          <w:sz w:val="20"/>
          <w:szCs w:val="20"/>
        </w:rPr>
        <w:t xml:space="preserve">Vet advisors openly. Name the potential conflicts before they surface.</w:t>
      </w:r>
    </w:p>
    <w:p>
      <w:pPr>
        <w:spacing w:after="0" w:before="120"/>
      </w:pPr>
      <w:r>
        <w:t xml:space="preserve"/>
      </w:r>
    </w:p>
    <w:p>
      <w:pPr>
        <w:pStyle w:val="Heading3"/>
        <w:spacing w:after="60" w:before="280"/>
      </w:pPr>
      <w:r>
        <w:rPr>
          <w:b/>
          <w:bCs/>
          <w:color w:val="176F73"/>
          <w:sz w:val="22"/>
          <w:szCs w:val="22"/>
        </w:rPr>
        <w:t xml:space="preserve">On Acquisitions</w:t>
      </w:r>
    </w:p>
    <w:p>
      <w:pPr>
        <w:pStyle w:val="ListParagraph"/>
        <w:numPr>
          <w:ilvl w:val="0"/>
          <w:numId w:val="2"/>
        </w:numPr>
        <w:spacing w:after="60" w:before="60"/>
      </w:pPr>
      <w:r>
        <w:rPr>
          <w:color w:val="5B6B75"/>
          <w:sz w:val="20"/>
          <w:szCs w:val="20"/>
        </w:rPr>
        <w:t xml:space="preserve">The integration plan is part of the deal, not a post-close problem.</w:t>
      </w:r>
    </w:p>
    <w:p>
      <w:pPr>
        <w:pStyle w:val="ListParagraph"/>
        <w:numPr>
          <w:ilvl w:val="0"/>
          <w:numId w:val="2"/>
        </w:numPr>
        <w:spacing w:after="60" w:before="60"/>
      </w:pPr>
      <w:r>
        <w:rPr>
          <w:color w:val="5B6B75"/>
          <w:sz w:val="20"/>
          <w:szCs w:val="20"/>
        </w:rPr>
        <w:t xml:space="preserve">The financial case should survive the base scenario, not just the upside scenario.</w:t>
      </w:r>
    </w:p>
    <w:p>
      <w:pPr>
        <w:pStyle w:val="ListParagraph"/>
        <w:numPr>
          <w:ilvl w:val="0"/>
          <w:numId w:val="2"/>
        </w:numPr>
        <w:spacing w:after="60" w:before="60"/>
      </w:pPr>
      <w:r>
        <w:rPr>
          <w:color w:val="5B6B75"/>
          <w:sz w:val="20"/>
          <w:szCs w:val="20"/>
        </w:rPr>
        <w:t xml:space="preserve">If you cannot name the person who runs this on Day 1, you are not ready to close.</w:t>
      </w:r>
    </w:p>
    <w:p>
      <w:r>
        <w:br w:type="page"/>
      </w:r>
    </w:p>
    <w:p>
      <w:pPr>
        <w:spacing w:after="80" w:before="400"/>
      </w:pPr>
      <w:r>
        <w:rPr>
          <w:b/>
          <w:bCs/>
          <w:color w:val="176F73"/>
          <w:spacing w:val="100"/>
          <w:sz w:val="16"/>
          <w:szCs w:val="16"/>
        </w:rPr>
        <w:t xml:space="preserve">SECTION 8</w:t>
      </w:r>
    </w:p>
    <w:p>
      <w:pPr>
        <w:pStyle w:val="Heading2"/>
        <w:spacing w:after="80" w:before="360"/>
      </w:pPr>
      <w:r>
        <w:rPr>
          <w:b/>
          <w:bCs/>
          <w:color w:val="24313A"/>
          <w:sz w:val="28"/>
          <w:szCs w:val="28"/>
        </w:rPr>
        <w:t xml:space="preserve">Case Examples</w:t>
      </w:r>
    </w:p>
    <w:p>
      <w:pPr>
        <w:pBdr>
          <w:bottom w:val="single" w:color="DCE3E6" w:sz="6" w:space="1"/>
        </w:pBdr>
        <w:spacing w:after="160" w:before="0"/>
      </w:pPr>
      <w:r>
        <w:t xml:space="preserve"/>
      </w:r>
    </w:p>
    <w:p>
      <w:pPr>
        <w:spacing w:after="120" w:before="80"/>
      </w:pPr>
      <w:r>
        <w:rPr>
          <w:color w:val="5B6B75"/>
          <w:sz w:val="20"/>
          <w:szCs w:val="20"/>
        </w:rPr>
        <w:t xml:space="preserve">Three engagements that illustrate the framework in practice.</w:t>
      </w:r>
    </w:p>
    <w:p>
      <w:pPr>
        <w:spacing w:after="0" w:before="160"/>
      </w:pPr>
      <w:r>
        <w:t xml:space="preserve"/>
      </w:r>
    </w:p>
    <w:p>
      <w:pPr>
        <w:pStyle w:val="Heading3"/>
        <w:spacing w:after="60" w:before="280"/>
      </w:pPr>
      <w:r>
        <w:rPr>
          <w:b/>
          <w:bCs/>
          <w:color w:val="176F73"/>
          <w:sz w:val="22"/>
          <w:szCs w:val="22"/>
        </w:rPr>
        <w:t xml:space="preserve">ZMC &amp; Associates — Building the Growth Engine</w:t>
      </w:r>
    </w:p>
    <w:p>
      <w:pPr>
        <w:spacing w:after="120" w:before="80"/>
      </w:pPr>
      <w:r>
        <w:rPr>
          <w:color w:val="5B6B75"/>
          <w:sz w:val="20"/>
          <w:szCs w:val="20"/>
        </w:rPr>
        <w:t xml:space="preserve">ZMC was ready to scale but lacked infrastructure. Brand was dated, story was diffuse, and there was no path from first impression to a qualified conversation. Marketing and sales were not aligned.</w:t>
      </w:r>
    </w:p>
    <w:p>
      <w:pPr>
        <w:spacing w:after="120" w:before="80"/>
      </w:pPr>
      <w:r>
        <w:rPr>
          <w:color w:val="5B6B75"/>
          <w:sz w:val="20"/>
          <w:szCs w:val="20"/>
        </w:rPr>
        <w:t xml:space="preserve">We sharpened positioning, rebuilt visual identity, and stood up a conversion-ready site with offer pages and clear CTAs. Then built the funnel: CRM scoring and routing, nurture cadences, SLA alerts, and a weekly rhythm tying marketing to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125%</w:t>
            </w:r>
          </w:p>
          <w:p>
            <w:r>
              <w:rPr>
                <w:color w:val="5B6B75"/>
                <w:sz w:val="17"/>
                <w:szCs w:val="17"/>
              </w:rPr>
              <w:t xml:space="preserve">increase in lead generation</w:t>
            </w:r>
          </w:p>
        </w:tc>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5+</w:t>
            </w:r>
          </w:p>
          <w:p>
            <w:r>
              <w:rPr>
                <w:color w:val="5B6B75"/>
                <w:sz w:val="17"/>
                <w:szCs w:val="17"/>
              </w:rPr>
              <w:t xml:space="preserve">channels activated in 30 days</w:t>
            </w:r>
          </w:p>
        </w:tc>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42%</w:t>
            </w:r>
          </w:p>
          <w:p>
            <w:r>
              <w:rPr>
                <w:color w:val="5B6B75"/>
                <w:sz w:val="17"/>
                <w:szCs w:val="17"/>
              </w:rPr>
              <w:t xml:space="preserve">improvement in return on ad spend</w:t>
            </w:r>
          </w:p>
        </w:tc>
      </w:tr>
    </w:tbl>
    <w:p>
      <w:pPr>
        <w:spacing w:after="0" w:before="240"/>
      </w:pPr>
      <w:r>
        <w:t xml:space="preserve"/>
      </w:r>
    </w:p>
    <w:p>
      <w:pPr>
        <w:pStyle w:val="Heading3"/>
        <w:spacing w:after="60" w:before="280"/>
      </w:pPr>
      <w:r>
        <w:rPr>
          <w:b/>
          <w:bCs/>
          <w:color w:val="176F73"/>
          <w:sz w:val="22"/>
          <w:szCs w:val="22"/>
        </w:rPr>
        <w:t xml:space="preserve">Hampden Watch Co. — From Instinct to System</w:t>
      </w:r>
    </w:p>
    <w:p>
      <w:pPr>
        <w:spacing w:after="120" w:before="80"/>
      </w:pPr>
      <w:r>
        <w:rPr>
          <w:color w:val="5B6B75"/>
          <w:sz w:val="20"/>
          <w:szCs w:val="20"/>
        </w:rPr>
        <w:t xml:space="preserve">Hampden had real heritage and early affinity traction — but it was running on instinct. Over twenty partner candidates were in consideration with no rubric to rank them. The risk was leading with the flashy option rather than the sequentially right one.</w:t>
      </w:r>
    </w:p>
    <w:p>
      <w:pPr>
        <w:spacing w:after="120" w:before="80"/>
      </w:pPr>
      <w:r>
        <w:rPr>
          <w:color w:val="5B6B75"/>
          <w:sz w:val="20"/>
          <w:szCs w:val="20"/>
        </w:rPr>
        <w:t xml:space="preserve">We mapped four affinity models with full unit economics, scored the candidate list against a real rubric, and imposed testing discipline. The aviation program was prioritized first because the sequencing made more sense than leading with associations.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20+</w:t>
            </w:r>
          </w:p>
          <w:p>
            <w:r>
              <w:rPr>
                <w:color w:val="5B6B75"/>
                <w:sz w:val="17"/>
                <w:szCs w:val="17"/>
              </w:rPr>
              <w:t xml:space="preserve">partners scored against structured rubric</w:t>
            </w:r>
          </w:p>
        </w:tc>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4</w:t>
            </w:r>
          </w:p>
          <w:p>
            <w:r>
              <w:rPr>
                <w:color w:val="5B6B75"/>
                <w:sz w:val="17"/>
                <w:szCs w:val="17"/>
              </w:rPr>
              <w:t xml:space="preserve">affinity channels mapped with unit economics</w:t>
            </w:r>
          </w:p>
        </w:tc>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1st</w:t>
            </w:r>
          </w:p>
          <w:p>
            <w:r>
              <w:rPr>
                <w:color w:val="5B6B75"/>
                <w:sz w:val="17"/>
                <w:szCs w:val="17"/>
              </w:rPr>
              <w:t xml:space="preserve">repeatable affinity system built from scratch</w:t>
            </w:r>
          </w:p>
        </w:tc>
      </w:tr>
    </w:tbl>
    <w:p>
      <w:pPr>
        <w:spacing w:after="0" w:before="240"/>
      </w:pPr>
      <w:r>
        <w:t xml:space="preserve"/>
      </w:r>
    </w:p>
    <w:p>
      <w:pPr>
        <w:pStyle w:val="Heading3"/>
        <w:spacing w:after="60" w:before="280"/>
      </w:pPr>
      <w:r>
        <w:rPr>
          <w:b/>
          <w:bCs/>
          <w:color w:val="176F73"/>
          <w:sz w:val="22"/>
          <w:szCs w:val="22"/>
        </w:rPr>
        <w:t xml:space="preserve">Luminate — From Staffing Vendor to Platform</w:t>
      </w:r>
    </w:p>
    <w:p>
      <w:pPr>
        <w:spacing w:after="120" w:before="80"/>
      </w:pPr>
      <w:r>
        <w:rPr>
          <w:color w:val="5B6B75"/>
          <w:sz w:val="20"/>
          <w:szCs w:val="20"/>
        </w:rPr>
        <w:t xml:space="preserve">Luminate had solid clients and reliable service but no scale. One undifferentiated offering, a brochure site with weak conversion, and no growth funnel. Revenue growth depended entirely on outbound and manual placements.</w:t>
      </w:r>
    </w:p>
    <w:p>
      <w:pPr>
        <w:spacing w:after="120" w:before="80"/>
      </w:pPr>
      <w:r>
        <w:rPr>
          <w:color w:val="5B6B75"/>
          <w:sz w:val="20"/>
          <w:szCs w:val="20"/>
        </w:rPr>
        <w:t xml:space="preserve">We repositioned the firm from staffing vendor to tech-enabled talent platform: three distinct product offerings with their own ICPs, pricing, and distribution paths. Rebuilt brand, launched conversion-first site, stood up full funnel and CRM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3</w:t>
            </w:r>
          </w:p>
          <w:p>
            <w:r>
              <w:rPr>
                <w:color w:val="5B6B75"/>
                <w:sz w:val="17"/>
                <w:szCs w:val="17"/>
              </w:rPr>
              <w:t xml:space="preserve">new product offerings launched</w:t>
            </w:r>
          </w:p>
        </w:tc>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26%</w:t>
            </w:r>
          </w:p>
          <w:p>
            <w:r>
              <w:rPr>
                <w:color w:val="5B6B75"/>
                <w:sz w:val="17"/>
                <w:szCs w:val="17"/>
              </w:rPr>
              <w:t xml:space="preserve">shorter sales cycle through automation</w:t>
            </w:r>
          </w:p>
        </w:tc>
        <w:tc>
          <w:tcPr>
            <w:tcW w:type="dxa" w:w="3120"/>
            <w:tcBorders>
              <w:top w:val="single" w:color="176F73" w:sz="10"/>
              <w:left w:val="none"/>
              <w:bottom w:val="none"/>
              <w:right w:val="none"/>
            </w:tcBorders>
            <w:shd w:fill="FFFFFF" w:color="auto" w:val="clear"/>
            <w:tcMar>
              <w:top w:type="dxa" w:w="80"/>
              <w:left w:type="dxa" w:w="0"/>
              <w:bottom w:type="dxa" w:w="80"/>
              <w:right w:type="dxa" w:w="120"/>
            </w:tcMar>
          </w:tcPr>
          <w:p>
            <w:r>
              <w:rPr>
                <w:rFonts w:ascii="Georgia" w:cs="Georgia" w:eastAsia="Georgia" w:hAnsi="Georgia"/>
                <w:b/>
                <w:bCs/>
                <w:color w:val="176F73"/>
                <w:sz w:val="40"/>
                <w:szCs w:val="40"/>
              </w:rPr>
              <w:t xml:space="preserve">56%</w:t>
            </w:r>
          </w:p>
          <w:p>
            <w:r>
              <w:rPr>
                <w:color w:val="5B6B75"/>
                <w:sz w:val="17"/>
                <w:szCs w:val="17"/>
              </w:rPr>
              <w:t xml:space="preserve">increase in average lifetime value per client</w:t>
            </w:r>
          </w:p>
        </w:tc>
      </w:tr>
    </w:tbl>
    <w:p>
      <w:r>
        <w:br w:type="page"/>
      </w:r>
    </w:p>
    <w:p>
      <w:pPr>
        <w:spacing w:after="80" w:before="400"/>
      </w:pPr>
      <w:r>
        <w:rPr>
          <w:b/>
          <w:bCs/>
          <w:color w:val="176F73"/>
          <w:spacing w:val="100"/>
          <w:sz w:val="16"/>
          <w:szCs w:val="16"/>
        </w:rPr>
        <w:t xml:space="preserve">SECTION 9</w:t>
      </w:r>
    </w:p>
    <w:p>
      <w:pPr>
        <w:pStyle w:val="Heading2"/>
        <w:spacing w:after="80" w:before="360"/>
      </w:pPr>
      <w:r>
        <w:rPr>
          <w:b/>
          <w:bCs/>
          <w:color w:val="24313A"/>
          <w:sz w:val="28"/>
          <w:szCs w:val="28"/>
        </w:rPr>
        <w:t xml:space="preserve">Quick Reference</w:t>
      </w:r>
    </w:p>
    <w:p>
      <w:pPr>
        <w:pBdr>
          <w:bottom w:val="single" w:color="DCE3E6" w:sz="6" w:space="1"/>
        </w:pBdr>
        <w:spacing w:after="160" w:before="0"/>
      </w:pPr>
      <w:r>
        <w:t xml:space="preserve"/>
      </w:r>
    </w:p>
    <w:p>
      <w:pPr>
        <w:pStyle w:val="Heading3"/>
        <w:spacing w:after="60" w:before="280"/>
      </w:pPr>
      <w:r>
        <w:rPr>
          <w:b/>
          <w:bCs/>
          <w:color w:val="176F73"/>
          <w:sz w:val="22"/>
          <w:szCs w:val="22"/>
        </w:rPr>
        <w:t xml:space="preserve">The Growth Question Checklist</w:t>
      </w:r>
    </w:p>
    <w:p>
      <w:pPr>
        <w:spacing w:after="120" w:before="80"/>
      </w:pPr>
      <w:r>
        <w:rPr>
          <w:color w:val="5B6B75"/>
          <w:sz w:val="20"/>
          <w:szCs w:val="20"/>
        </w:rPr>
        <w:t xml:space="preserve">Before starting any engagement phase, answer these:</w:t>
      </w:r>
    </w:p>
    <w:p>
      <w:pPr>
        <w:pStyle w:val="ListParagraph"/>
        <w:numPr>
          <w:ilvl w:val="0"/>
          <w:numId w:val="2"/>
        </w:numPr>
        <w:spacing w:after="60" w:before="60"/>
      </w:pPr>
      <w:r>
        <w:rPr>
          <w:color w:val="5B6B75"/>
          <w:sz w:val="20"/>
          <w:szCs w:val="20"/>
        </w:rPr>
        <w:t xml:space="preserve">What is the next revenue question this work is trying to answer?</w:t>
      </w:r>
    </w:p>
    <w:p>
      <w:pPr>
        <w:pStyle w:val="ListParagraph"/>
        <w:numPr>
          <w:ilvl w:val="0"/>
          <w:numId w:val="2"/>
        </w:numPr>
        <w:spacing w:after="60" w:before="60"/>
      </w:pPr>
      <w:r>
        <w:rPr>
          <w:color w:val="5B6B75"/>
          <w:sz w:val="20"/>
          <w:szCs w:val="20"/>
        </w:rPr>
        <w:t xml:space="preserve">What is the one constraint, if removed, that changes the trajectory?</w:t>
      </w:r>
    </w:p>
    <w:p>
      <w:pPr>
        <w:pStyle w:val="ListParagraph"/>
        <w:numPr>
          <w:ilvl w:val="0"/>
          <w:numId w:val="2"/>
        </w:numPr>
        <w:spacing w:after="60" w:before="60"/>
      </w:pPr>
      <w:r>
        <w:rPr>
          <w:color w:val="5B6B75"/>
          <w:sz w:val="20"/>
          <w:szCs w:val="20"/>
        </w:rPr>
        <w:t xml:space="preserve">What are we testing, and what does a passing result look like?</w:t>
      </w:r>
    </w:p>
    <w:p>
      <w:pPr>
        <w:pStyle w:val="ListParagraph"/>
        <w:numPr>
          <w:ilvl w:val="0"/>
          <w:numId w:val="2"/>
        </w:numPr>
        <w:spacing w:after="60" w:before="60"/>
      </w:pPr>
      <w:r>
        <w:rPr>
          <w:color w:val="5B6B75"/>
          <w:sz w:val="20"/>
          <w:szCs w:val="20"/>
        </w:rPr>
        <w:t xml:space="preserve">Who is accountable for the outcome of this phase?</w:t>
      </w:r>
    </w:p>
    <w:p>
      <w:pPr>
        <w:pStyle w:val="ListParagraph"/>
        <w:numPr>
          <w:ilvl w:val="0"/>
          <w:numId w:val="2"/>
        </w:numPr>
        <w:spacing w:after="60" w:before="60"/>
      </w:pPr>
      <w:r>
        <w:rPr>
          <w:color w:val="5B6B75"/>
          <w:sz w:val="20"/>
          <w:szCs w:val="20"/>
        </w:rPr>
        <w:t xml:space="preserve">What does the handoff look like if this works?</w:t>
      </w:r>
    </w:p>
    <w:p>
      <w:pPr>
        <w:spacing w:after="0" w:before="160"/>
      </w:pPr>
      <w:r>
        <w:t xml:space="preserve"/>
      </w:r>
    </w:p>
    <w:p>
      <w:pPr>
        <w:pStyle w:val="Heading3"/>
        <w:spacing w:after="60" w:before="280"/>
      </w:pPr>
      <w:r>
        <w:rPr>
          <w:b/>
          <w:bCs/>
          <w:color w:val="176F73"/>
          <w:sz w:val="22"/>
          <w:szCs w:val="22"/>
        </w:rPr>
        <w:t xml:space="preserve">Red Flags</w:t>
      </w:r>
    </w:p>
    <w:p>
      <w:pPr>
        <w:pStyle w:val="ListParagraph"/>
        <w:numPr>
          <w:ilvl w:val="0"/>
          <w:numId w:val="2"/>
        </w:numPr>
        <w:spacing w:after="60" w:before="60"/>
      </w:pPr>
      <w:r>
        <w:rPr>
          <w:color w:val="5B6B75"/>
          <w:sz w:val="20"/>
          <w:szCs w:val="20"/>
        </w:rPr>
        <w:t xml:space="preserve">No shared definition of what "working" means.</w:t>
      </w:r>
    </w:p>
    <w:p>
      <w:pPr>
        <w:pStyle w:val="ListParagraph"/>
        <w:numPr>
          <w:ilvl w:val="0"/>
          <w:numId w:val="2"/>
        </w:numPr>
        <w:spacing w:after="60" w:before="60"/>
      </w:pPr>
      <w:r>
        <w:rPr>
          <w:color w:val="5B6B75"/>
          <w:sz w:val="20"/>
          <w:szCs w:val="20"/>
        </w:rPr>
        <w:t xml:space="preserve">Multiple variables being tested at once.</w:t>
      </w:r>
    </w:p>
    <w:p>
      <w:pPr>
        <w:pStyle w:val="ListParagraph"/>
        <w:numPr>
          <w:ilvl w:val="0"/>
          <w:numId w:val="2"/>
        </w:numPr>
        <w:spacing w:after="60" w:before="60"/>
      </w:pPr>
      <w:r>
        <w:rPr>
          <w:color w:val="5B6B75"/>
          <w:sz w:val="20"/>
          <w:szCs w:val="20"/>
        </w:rPr>
        <w:t xml:space="preserve">Partners evaluated on enthusiasm, not rubric.</w:t>
      </w:r>
    </w:p>
    <w:p>
      <w:pPr>
        <w:pStyle w:val="ListParagraph"/>
        <w:numPr>
          <w:ilvl w:val="0"/>
          <w:numId w:val="2"/>
        </w:numPr>
        <w:spacing w:after="60" w:before="60"/>
      </w:pPr>
      <w:r>
        <w:rPr>
          <w:color w:val="5B6B75"/>
          <w:sz w:val="20"/>
          <w:szCs w:val="20"/>
        </w:rPr>
        <w:t xml:space="preserve">Acquisition driven by seller timeline, not strategic fit.</w:t>
      </w:r>
    </w:p>
    <w:p>
      <w:pPr>
        <w:pStyle w:val="ListParagraph"/>
        <w:numPr>
          <w:ilvl w:val="0"/>
          <w:numId w:val="2"/>
        </w:numPr>
        <w:spacing w:after="60" w:before="60"/>
      </w:pPr>
      <w:r>
        <w:rPr>
          <w:color w:val="5B6B75"/>
          <w:sz w:val="20"/>
          <w:szCs w:val="20"/>
        </w:rPr>
        <w:t xml:space="preserve">Operating rhythm missing or not being respected.</w:t>
      </w:r>
    </w:p>
    <w:p>
      <w:pPr>
        <w:pStyle w:val="ListParagraph"/>
        <w:numPr>
          <w:ilvl w:val="0"/>
          <w:numId w:val="2"/>
        </w:numPr>
        <w:spacing w:after="60" w:before="60"/>
      </w:pPr>
      <w:r>
        <w:rPr>
          <w:color w:val="5B6B75"/>
          <w:sz w:val="20"/>
          <w:szCs w:val="20"/>
        </w:rPr>
        <w:t xml:space="preserve">Diffuse positioning tolerated because "our clients know who we are."</w:t>
      </w:r>
    </w:p>
    <w:p>
      <w:pPr>
        <w:spacing w:after="0" w:before="160"/>
      </w:pPr>
      <w:r>
        <w:t xml:space="preserve"/>
      </w:r>
    </w:p>
    <w:p>
      <w:pPr>
        <w:pStyle w:val="Heading3"/>
        <w:spacing w:after="60" w:before="280"/>
      </w:pPr>
      <w:r>
        <w:rPr>
          <w:b/>
          <w:bCs/>
          <w:color w:val="176F73"/>
          <w:sz w:val="22"/>
          <w:szCs w:val="22"/>
        </w:rPr>
        <w:t xml:space="preserve">Contact</w:t>
      </w:r>
    </w:p>
    <w:p>
      <w:pPr>
        <w:spacing w:after="120" w:before="80"/>
      </w:pPr>
      <w:r>
        <w:rPr>
          <w:color w:val="5B6B75"/>
          <w:sz w:val="20"/>
          <w:szCs w:val="20"/>
        </w:rPr>
        <w:t xml:space="preserve">Devin Schain  ·  Roundtable Growth Partners</w:t>
      </w:r>
    </w:p>
    <w:p>
      <w:pPr>
        <w:spacing w:after="120" w:before="80"/>
      </w:pPr>
      <w:r>
        <w:rPr>
          <w:color w:val="5B6B75"/>
          <w:sz w:val="20"/>
          <w:szCs w:val="20"/>
        </w:rPr>
        <w:t xml:space="preserve">devin@roundtablegrowthpartners.com</w:t>
      </w:r>
    </w:p>
    <w:p>
      <w:pPr>
        <w:spacing w:after="120" w:before="80"/>
      </w:pPr>
      <w:r>
        <w:rPr>
          <w:color w:val="5B6B75"/>
          <w:sz w:val="20"/>
          <w:szCs w:val="20"/>
        </w:rPr>
        <w:t xml:space="preserve">roundtablegrowthpartners.com</w:t>
      </w:r>
    </w:p>
    <w:p>
      <w:pPr>
        <w:spacing w:after="0" w:before="240"/>
      </w:pPr>
      <w:r>
        <w:t xml:space="preserve"/>
      </w:r>
    </w:p>
    <w:p>
      <w:pPr>
        <w:pBdr>
          <w:top w:val="single" w:color="DCE3E6" w:sz="4"/>
        </w:pBdr>
        <w:spacing w:after="0" w:before="80"/>
      </w:pPr>
      <w:r>
        <w:rPr>
          <w:i/>
          <w:iCs/>
          <w:color w:val="5B6B75"/>
          <w:sz w:val="16"/>
          <w:szCs w:val="16"/>
        </w:rPr>
        <w:t xml:space="preserve">This document is confidential and intended solely for use by Roundtable Growth Partners and its clients.</w:t>
      </w:r>
    </w:p>
    <w:sectPr>
      <w:headerReference w:type="default" r:id="rId7"/>
      <w:footerReference w:type="default" r:id="rId8"/>
      <w:pgSz w:w="12240" w:h="15840" w:orient="portrait"/>
      <w:pgMar w:top="1080" w:right="1260" w:bottom="1080" w:left="1260" w:header="708" w:footer="708" w:gutter="0"/>
      <w:pgNumType/>
      <w:docGrid w:linePitch="360"/>
    </w:sectPr>
    <w:p>
      <w:pPr>
        <w:pStyle w:val="Normal"/>
        <w:pageBreakBefore/>
        <w:spacing w:before="0" w:after="0"/>
      </w:pPr>
      <w:r>
        <w:t/>
      </w:r>
    </w:p>
    <w:p>
      <w:pPr>
        <w:spacing w:before="400" w:after="80"/>
      </w:pPr>
      <w:r>
        <w:rPr>
          <w:color w:val="176F73"/>
          <w:sz w:val="16"/>
          <w:szCs w:val="16"/>
          <w:caps/>
        </w:rPr>
        <w:t xml:space="preserve">Section 10</w:t>
      </w:r>
    </w:p>
    <w:p>
      <w:pPr>
        <w:pStyle w:val="Heading2"/>
        <w:spacing w:before="360" w:after="80"/>
      </w:pPr>
      <w:r>
        <w:rPr>
          <w:color w:val="24313A"/>
          <w:sz w:val="28"/>
          <w:szCs w:val="28"/>
        </w:rPr>
        <w:t>Virtual Partners &amp; Bench</w:t>
      </w:r>
    </w:p>
    <w:p>
      <w:pPr>
        <w:pBdr>
          <w:bottom w:val="single" w:sz="6" w:space="1" w:color="DCE3E6"/>
        </w:pBdr>
        <w:spacing w:before="0" w:after="160"/>
      </w:pPr>
      <w:r>
        <w:t/>
      </w:r>
    </w:p>
    <w:p>
      <w:pPr>
        <w:spacing w:before="80" w:after="120"/>
      </w:pPr>
      <w:r>
        <w:rPr>
          <w:color w:val="5B6B75"/>
          <w:sz w:val="20"/>
          <w:szCs w:val="20"/>
        </w:rPr>
        <w:t>RGP assembles specialists around each mandate rather than carrying them as overhead. The following individuals represent the current bench of virtual partners and potential collaborators across the three pillars.</w:t>
      </w:r>
    </w:p>
    <w:p>
      <w:pPr>
        <w:spacing w:before="280" w:after="60"/>
      </w:pPr>
      <w:r>
        <w:rPr>
          <w:color w:val="176F73"/>
          <w:b/>
          <w:sz w:val="22"/>
          <w:szCs w:val="22"/>
        </w:rPr>
        <w:t>Current Bench</w:t>
      </w:r>
    </w:p>
    <w:p>
      <w:pPr>
        <w:numPr>
          <w:ilvl w:val="0"/>
          <w:numId w:val="1"/>
        </w:numPr>
        <w:spacing w:before="60" w:after="60"/>
      </w:pPr>
      <w:r>
        <w:rPr>
          <w:color w:val="24313A"/>
          <w:b/>
          <w:sz w:val="20"/>
          <w:szCs w:val="20"/>
        </w:rPr>
        <w:t xml:space="preserve">Michael Himmelfarb </w:t>
      </w:r>
      <w:r>
        <w:rPr>
          <w:color w:val="5B6B75"/>
          <w:sz w:val="20"/>
          <w:szCs w:val="20"/>
        </w:rPr>
        <w:t>(HG Partners) — Business development and partnership network.</w:t>
      </w:r>
    </w:p>
    <w:p>
      <w:pPr>
        <w:numPr>
          <w:ilvl w:val="0"/>
          <w:numId w:val="1"/>
        </w:numPr>
        <w:spacing w:before="60" w:after="60"/>
      </w:pPr>
      <w:r>
        <w:rPr>
          <w:color w:val="24313A"/>
          <w:b/>
          <w:sz w:val="20"/>
          <w:szCs w:val="20"/>
        </w:rPr>
        <w:t xml:space="preserve">Geoff Walker </w:t>
      </w:r>
      <w:r>
        <w:rPr>
          <w:color w:val="5B6B75"/>
          <w:sz w:val="20"/>
          <w:szCs w:val="20"/>
        </w:rPr>
        <w:t>— Discussed at 4 PM call; role TBD.</w:t>
      </w:r>
    </w:p>
    <w:p>
      <w:pPr>
        <w:numPr>
          <w:ilvl w:val="0"/>
          <w:numId w:val="1"/>
        </w:numPr>
        <w:spacing w:before="60" w:after="60"/>
      </w:pPr>
      <w:r>
        <w:rPr>
          <w:color w:val="24313A"/>
          <w:b/>
          <w:sz w:val="20"/>
          <w:szCs w:val="20"/>
        </w:rPr>
        <w:t xml:space="preserve">Brian Biondi </w:t>
      </w:r>
      <w:r>
        <w:rPr>
          <w:color w:val="5B6B75"/>
          <w:sz w:val="20"/>
          <w:szCs w:val="20"/>
        </w:rPr>
        <w:t>— Reached out re: family office; potential finance/investor access.</w:t>
      </w:r>
    </w:p>
    <w:p>
      <w:pPr>
        <w:numPr>
          <w:ilvl w:val="0"/>
          <w:numId w:val="1"/>
        </w:numPr>
        <w:spacing w:before="60" w:after="60"/>
      </w:pPr>
      <w:r>
        <w:rPr>
          <w:color w:val="24313A"/>
          <w:b/>
          <w:sz w:val="20"/>
          <w:szCs w:val="20"/>
        </w:rPr>
        <w:t xml:space="preserve">Jack Daly </w:t>
      </w:r>
      <w:r>
        <w:rPr>
          <w:color w:val="5B6B75"/>
          <w:sz w:val="20"/>
          <w:szCs w:val="20"/>
        </w:rPr>
        <w:t>— Sales virtual partner. Confirmed on the bench.</w:t>
      </w:r>
    </w:p>
    <w:p>
      <w:pPr>
        <w:numPr>
          <w:ilvl w:val="0"/>
          <w:numId w:val="1"/>
        </w:numPr>
        <w:spacing w:before="60" w:after="60"/>
      </w:pPr>
      <w:r>
        <w:rPr>
          <w:color w:val="24313A"/>
          <w:b/>
          <w:sz w:val="20"/>
          <w:szCs w:val="20"/>
        </w:rPr>
        <w:t xml:space="preserve">Clay Perfall </w:t>
      </w:r>
      <w:r>
        <w:rPr>
          <w:color w:val="5B6B75"/>
          <w:sz w:val="20"/>
          <w:szCs w:val="20"/>
        </w:rPr>
        <w:t>— Role TBD; flagged as potential partner.</w:t>
      </w:r>
    </w:p>
    <w:p>
      <w:pPr>
        <w:numPr>
          <w:ilvl w:val="0"/>
          <w:numId w:val="1"/>
        </w:numPr>
        <w:spacing w:before="60" w:after="60"/>
      </w:pPr>
      <w:r>
        <w:rPr>
          <w:color w:val="24313A"/>
          <w:b/>
          <w:sz w:val="20"/>
          <w:szCs w:val="20"/>
        </w:rPr>
        <w:t xml:space="preserve">Andy Putterman </w:t>
      </w:r>
      <w:r>
        <w:rPr>
          <w:color w:val="5B6B75"/>
          <w:sz w:val="20"/>
          <w:szCs w:val="20"/>
        </w:rPr>
        <w:t>— Role TBD; flagged as potential partner.</w:t>
      </w:r>
    </w:p>
    <w:p>
      <w:pPr>
        <w:spacing w:before="280" w:after="60"/>
      </w:pPr>
      <w:r>
        <w:rPr>
          <w:color w:val="176F73"/>
          <w:b/>
          <w:sz w:val="22"/>
          <w:szCs w:val="22"/>
        </w:rPr>
        <w:t>How the Bench Works</w:t>
      </w:r>
    </w:p>
    <w:p>
      <w:pPr>
        <w:numPr>
          <w:ilvl w:val="0"/>
          <w:numId w:val="1"/>
        </w:numPr>
        <w:spacing w:before="60" w:after="60"/>
      </w:pPr>
      <w:r>
        <w:rPr>
          <w:color w:val="5B6B75"/>
          <w:sz w:val="20"/>
          <w:szCs w:val="20"/>
        </w:rPr>
        <w:t>Each specialist is brought in only when the mandate calls for their specific expertise.</w:t>
      </w:r>
    </w:p>
    <w:p>
      <w:pPr>
        <w:numPr>
          <w:ilvl w:val="0"/>
          <w:numId w:val="1"/>
        </w:numPr>
        <w:spacing w:before="60" w:after="60"/>
      </w:pPr>
      <w:r>
        <w:rPr>
          <w:color w:val="5B6B75"/>
          <w:sz w:val="20"/>
          <w:szCs w:val="20"/>
        </w:rPr>
        <w:t>No one is carried as overhead between engagements.</w:t>
      </w:r>
    </w:p>
    <w:p>
      <w:pPr>
        <w:numPr>
          <w:ilvl w:val="0"/>
          <w:numId w:val="1"/>
        </w:numPr>
        <w:spacing w:before="60" w:after="60"/>
      </w:pPr>
      <w:r>
        <w:rPr>
          <w:color w:val="5B6B75"/>
          <w:sz w:val="20"/>
          <w:szCs w:val="20"/>
        </w:rPr>
        <w:t>Devin remains the single accountable leader and point of contact for every client.</w:t>
      </w:r>
    </w:p>
    <w:p>
      <w:pPr>
        <w:numPr>
          <w:ilvl w:val="0"/>
          <w:numId w:val="1"/>
        </w:numPr>
        <w:spacing w:before="60" w:after="60"/>
      </w:pPr>
      <w:r>
        <w:rPr>
          <w:color w:val="5B6B75"/>
          <w:sz w:val="20"/>
          <w:szCs w:val="20"/>
        </w:rPr>
        <w:t>This list is live — update as conversations progress and roles are confirmed.</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6" w:sz="4"/>
      </w:pBdr>
      <w:spacing w:after="0" w:before="80"/>
      <w:jc w:val="right"/>
    </w:pPr>
    <w:r>
      <w:rPr>
        <w:color w:val="5B6B75"/>
        <w:sz w:val="16"/>
        <w:szCs w:val="16"/>
      </w:rPr>
      <w:t xml:space="preserve">Confidential  ·  </w:t>
    </w:r>
    <w:r>
      <w:rPr>
        <w:color w:val="5B6B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6" w:sz="4"/>
      </w:pBdr>
      <w:spacing w:after="120" w:before="0"/>
    </w:pPr>
    <w:r>
      <w:rPr>
        <w:b/>
        <w:bCs/>
        <w:color w:val="176F73"/>
        <w:spacing w:val="80"/>
        <w:sz w:val="16"/>
        <w:szCs w:val="16"/>
      </w:rPr>
      <w:t xml:space="preserve">ROUNDTABLE GROWTH PARTNERS  </w:t>
    </w:r>
    <w:r>
      <w:rPr>
        <w:color w:val="5B6B75"/>
        <w:sz w:val="16"/>
        <w:szCs w:val="16"/>
      </w:rPr>
      <w:t xml:space="preserve">  |  Growth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76F73"/>
        <w:sz w:val="20"/>
        <w:szCs w:val="20"/>
      </w:rPr>
    </w:lvl>
  </w:abstractNum>
  <w:abstractNum w:abstractNumId="3" w15:restartNumberingAfterBreak="0">
    <w:multiLevelType w:val="hybridMultilevel"/>
    <w:lvl w:ilvl="0" w15:tentative="1">
      <w:start w:val="1"/>
      <w:numFmt w:val="decimal"/>
      <w:lvlText w:val="%1."/>
      <w:lvlJc w:val="left"/>
      <w:pPr>
        <w:ind w:left="440" w:hanging="280"/>
      </w:pPr>
      <w:rPr>
        <w:b/>
        <w:bCs/>
        <w:color w:val="176F73"/>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B6B7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480"/>
      <w:outlineLvl w:val="0"/>
    </w:pPr>
    <w:rPr>
      <w:rFonts w:ascii="Georgia" w:cs="Georgia" w:eastAsia="Georgia" w:hAnsi="Georgia"/>
      <w:b/>
      <w:bCs/>
      <w:color w:val="24313A"/>
      <w:sz w:val="40"/>
      <w:szCs w:val="40"/>
    </w:rPr>
  </w:style>
  <w:style w:type="paragraph" w:styleId="Heading2">
    <w:name w:val="Heading 2"/>
    <w:basedOn w:val="Normal"/>
    <w:next w:val="Normal"/>
    <w:pPr>
      <w:spacing w:after="80" w:before="360"/>
      <w:outlineLvl w:val="1"/>
    </w:pPr>
    <w:rPr>
      <w:rFonts w:ascii="Georgia" w:cs="Georgia" w:eastAsia="Georgia" w:hAnsi="Georgia"/>
      <w:b/>
      <w:bCs/>
      <w:color w:val="24313A"/>
      <w:sz w:val="28"/>
      <w:szCs w:val="28"/>
    </w:rPr>
  </w:style>
  <w:style w:type="paragraph" w:styleId="Heading3">
    <w:name w:val="Heading 3"/>
    <w:basedOn w:val="Normal"/>
    <w:next w:val="Normal"/>
    <w:pPr>
      <w:spacing w:after="60" w:before="280"/>
      <w:outlineLvl w:val="2"/>
    </w:pPr>
    <w:rPr>
      <w:rFonts w:ascii="Calibri" w:cs="Calibri" w:eastAsia="Calibri" w:hAnsi="Calibri"/>
      <w:b/>
      <w:bCs/>
      <w:color w:val="176F7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2026-10-19T18:43:27.033Z</dcterms:created>
  <dcterms:modified xsi:type="dcterms:W3CDTF">2026-10-19T18:43:27.044Z</dcterms:modified>
</cp:coreProperties>
</file>

<file path=docProps/custom.xml><?xml version="1.0" encoding="utf-8"?>
<Properties xmlns="http://schemas.openxmlformats.org/officeDocument/2006/custom-properties" xmlns:vt="http://schemas.openxmlformats.org/officeDocument/2006/docPropsVTypes"/>
</file>