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jpg" ContentType="image/jpeg"/>
  <Override PartName="/word/media/rId22.jpg" ContentType="image/jpeg"/>
  <Override PartName="/word/media/rId45.png" ContentType="image/png"/>
  <Override PartName="/word/media/rId39.png" ContentType="image/png"/>
  <Override PartName="/word/media/rId42.png" ContentType="image/png"/>
  <Override PartName="/word/media/rId48.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RGP Website Copy</w:t>
      </w:r>
    </w:p>
    <w:p>
      <w:pPr>
        <w:pStyle w:val="FirstParagraph"/>
      </w:pPr>
      <w:hyperlink w:anchor="main">
        <w:r>
          <w:rPr>
            <w:rStyle w:val="Hyperlink"/>
          </w:rPr>
          <w:t xml:space="preserve">Skip to content</w:t>
        </w:r>
      </w:hyperlink>
    </w:p>
    <w:p>
      <w:pPr>
        <w:pStyle w:val="BodyText"/>
      </w:pPr>
      <w:r>
        <w:t xml:space="preserve">RGP</w:t>
      </w:r>
    </w:p>
    <w:p>
      <w:pPr>
        <w:pStyle w:val="BodyText"/>
      </w:pPr>
      <w:r>
        <w:rPr>
          <w:b/>
        </w:rPr>
        <w:t xml:space="preserve">Roundtable</w:t>
      </w:r>
      <w:r>
        <w:t xml:space="preserve">GROWTH PARTNERS</w:t>
      </w:r>
    </w:p>
    <w:p>
      <w:pPr>
        <w:pStyle w:val="BodyText"/>
      </w:pPr>
      <w:r>
        <w:t xml:space="preserve">Menu</w:t>
      </w:r>
    </w:p>
    <w:p>
      <w:pPr>
        <w:numPr>
          <w:ilvl w:val="0"/>
          <w:numId w:val="1001"/>
        </w:numPr>
        <w:pStyle w:val="Compact"/>
      </w:pPr>
      <w:hyperlink w:anchor="ways">
        <w:r>
          <w:rPr>
            <w:rStyle w:val="Hyperlink"/>
          </w:rPr>
          <w:t xml:space="preserve">Growth</w:t>
        </w:r>
      </w:hyperlink>
    </w:p>
    <w:p>
      <w:pPr>
        <w:numPr>
          <w:ilvl w:val="0"/>
          <w:numId w:val="1001"/>
        </w:numPr>
        <w:pStyle w:val="Compact"/>
      </w:pPr>
      <w:hyperlink w:anchor="approach">
        <w:r>
          <w:rPr>
            <w:rStyle w:val="Hyperlink"/>
          </w:rPr>
          <w:t xml:space="preserve">Approach</w:t>
        </w:r>
      </w:hyperlink>
    </w:p>
    <w:p>
      <w:pPr>
        <w:numPr>
          <w:ilvl w:val="0"/>
          <w:numId w:val="1001"/>
        </w:numPr>
        <w:pStyle w:val="Compact"/>
      </w:pPr>
      <w:hyperlink w:anchor="table">
        <w:r>
          <w:rPr>
            <w:rStyle w:val="Hyperlink"/>
          </w:rPr>
          <w:t xml:space="preserve">The Table</w:t>
        </w:r>
      </w:hyperlink>
    </w:p>
    <w:p>
      <w:pPr>
        <w:numPr>
          <w:ilvl w:val="0"/>
          <w:numId w:val="1001"/>
        </w:numPr>
        <w:pStyle w:val="Compact"/>
      </w:pPr>
      <w:hyperlink w:anchor="investors">
        <w:r>
          <w:rPr>
            <w:rStyle w:val="Hyperlink"/>
          </w:rPr>
          <w:t xml:space="preserve">Companies</w:t>
        </w:r>
      </w:hyperlink>
    </w:p>
    <w:p>
      <w:pPr>
        <w:numPr>
          <w:ilvl w:val="0"/>
          <w:numId w:val="1001"/>
        </w:numPr>
        <w:pStyle w:val="Compact"/>
      </w:pPr>
      <w:hyperlink w:anchor="offers">
        <w:r>
          <w:rPr>
            <w:rStyle w:val="Hyperlink"/>
          </w:rPr>
          <w:t xml:space="preserve">Work with us</w:t>
        </w:r>
      </w:hyperlink>
    </w:p>
    <w:p>
      <w:pPr>
        <w:numPr>
          <w:ilvl w:val="0"/>
          <w:numId w:val="1001"/>
        </w:numPr>
        <w:pStyle w:val="Compact"/>
      </w:pPr>
      <w:hyperlink r:id="rId20">
        <w:r>
          <w:rPr>
            <w:rStyle w:val="Hyperlink"/>
          </w:rPr>
          <w:t xml:space="preserve">Case studies</w:t>
        </w:r>
      </w:hyperlink>
    </w:p>
    <w:p>
      <w:pPr>
        <w:numPr>
          <w:ilvl w:val="0"/>
          <w:numId w:val="1001"/>
        </w:numPr>
        <w:pStyle w:val="Compact"/>
      </w:pPr>
      <w:hyperlink w:anchor="contact">
        <w:r>
          <w:rPr>
            <w:rStyle w:val="Hyperlink"/>
          </w:rPr>
          <w:t xml:space="preserve">Contact</w:t>
        </w:r>
      </w:hyperlink>
    </w:p>
    <w:p>
      <w:pPr>
        <w:numPr>
          <w:ilvl w:val="0"/>
          <w:numId w:val="1001"/>
        </w:numPr>
        <w:pStyle w:val="Compact"/>
      </w:pPr>
      <w:hyperlink w:anchor="contact">
        <w:r>
          <w:rPr>
            <w:rStyle w:val="Hyperlink"/>
          </w:rPr>
          <w:t xml:space="preserve">Book a call</w:t>
        </w:r>
      </w:hyperlink>
    </w:p>
    <w:bookmarkStart w:id="70" w:name="main"/>
    <w:bookmarkStart w:id="23" w:name="top"/>
    <w:p>
      <w:pPr>
        <w:pStyle w:val="FirstParagraph"/>
      </w:pPr>
      <w:r>
        <w:t xml:space="preserve">Roundtable Growth Partners</w:t>
      </w:r>
    </w:p>
    <w:p>
      <w:pPr>
        <w:pStyle w:val="Heading1"/>
      </w:pPr>
      <w:bookmarkStart w:id="21" w:name="X60ef1f19990a9851acd2d177f12bfde5645c438"/>
      <w:r>
        <w:t xml:space="preserve">Low lift. High impact. Faster revenue growth.</w:t>
      </w:r>
      <w:bookmarkEnd w:id="21"/>
    </w:p>
    <w:p>
      <w:pPr>
        <w:pStyle w:val="FirstParagraph"/>
      </w:pPr>
      <w:r>
        <w:t xml:space="preserve">Roundtable Growth Partners helps private equity, family offices, and privately held companies accelerate revenue with a low-lift, high-impact method: test ideas in the market, partner where it speeds the work, and acquire when it makes growth faster. We know not every idea works, and that is the point. We prove what does before you commit significant people or capital. RGP stays accountable from first diagnosis to handoff.</w:t>
      </w:r>
    </w:p>
    <w:p>
      <w:pPr>
        <w:pStyle w:val="BodyText"/>
      </w:pPr>
      <w:hyperlink w:anchor="testing">
        <w:r>
          <w:rPr>
            <w:rStyle w:val="Hyperlink"/>
            <w:b/>
          </w:rPr>
          <w:t xml:space="preserve">Testing</w:t>
        </w:r>
        <w:r>
          <w:rPr>
            <w:rStyle w:val="Hyperlink"/>
          </w:rPr>
          <w:t xml:space="preserve"> </w:t>
        </w:r>
        <w:r>
          <w:rPr>
            <w:rStyle w:val="Hyperlink"/>
          </w:rPr>
          <w:t xml:space="preserve">Evidence before capital.</w:t>
        </w:r>
      </w:hyperlink>
      <w:r>
        <w:t xml:space="preserve"> </w:t>
      </w:r>
      <w:hyperlink w:anchor="partnerships">
        <w:r>
          <w:rPr>
            <w:rStyle w:val="Hyperlink"/>
            <w:b/>
          </w:rPr>
          <w:t xml:space="preserve">Partnerships</w:t>
        </w:r>
        <w:r>
          <w:rPr>
            <w:rStyle w:val="Hyperlink"/>
          </w:rPr>
          <w:t xml:space="preserve"> </w:t>
        </w:r>
        <w:r>
          <w:rPr>
            <w:rStyle w:val="Hyperlink"/>
          </w:rPr>
          <w:t xml:space="preserve">Speed and reach, with shared risk.</w:t>
        </w:r>
      </w:hyperlink>
      <w:r>
        <w:t xml:space="preserve"> </w:t>
      </w:r>
      <w:hyperlink w:anchor="acquisitions">
        <w:r>
          <w:rPr>
            <w:rStyle w:val="Hyperlink"/>
            <w:b/>
          </w:rPr>
          <w:t xml:space="preserve">Acquisitions</w:t>
        </w:r>
        <w:r>
          <w:rPr>
            <w:rStyle w:val="Hyperlink"/>
          </w:rPr>
          <w:t xml:space="preserve"> </w:t>
        </w:r>
        <w:r>
          <w:rPr>
            <w:rStyle w:val="Hyperlink"/>
          </w:rPr>
          <w:t xml:space="preserve">Tuck-ins that build momentum.</w:t>
        </w:r>
      </w:hyperlink>
    </w:p>
    <w:p>
      <w:pPr>
        <w:pStyle w:val="BodyText"/>
      </w:pPr>
      <w:hyperlink w:anchor="contact">
        <w:r>
          <w:rPr>
            <w:rStyle w:val="Hyperlink"/>
          </w:rPr>
          <w:t xml:space="preserve">Discuss a growth opportunity</w:t>
        </w:r>
      </w:hyperlink>
      <w:hyperlink w:anchor="approach">
        <w:r>
          <w:rPr>
            <w:rStyle w:val="Hyperlink"/>
          </w:rPr>
          <w:t xml:space="preserve">See how we work</w:t>
        </w:r>
      </w:hyperlink>
    </w:p>
    <w:p>
      <w:pPr>
        <w:pStyle w:val="BodyText"/>
      </w:pPr>
      <w:r>
        <w:rPr>
          <w:b/>
        </w:rPr>
        <w:t xml:space="preserve">Where we work:</w:t>
      </w:r>
      <w:r>
        <w:t xml:space="preserve"> </w:t>
      </w:r>
      <w:r>
        <w:t xml:space="preserve">private equity portfolio companies, family offices, and privately held companies looking for the next source of profitable growth.</w:t>
      </w:r>
    </w:p>
    <w:p>
      <w:pPr>
        <w:pStyle w:val="Figure"/>
      </w:pPr>
      <w:r>
        <w:drawing>
          <wp:inline>
            <wp:extent cx="5334000" cy="5334000"/>
            <wp:effectExtent b="0" l="0" r="0" t="0"/>
            <wp:docPr descr="" title="" id="1" name="Picture"/>
            <a:graphic>
              <a:graphicData uri="http://schemas.openxmlformats.org/drawingml/2006/picture">
                <pic:pic>
                  <pic:nvPicPr>
                    <pic:cNvPr descr="assets/Photos/roundtable-team.jpg" id="0" name="Picture"/>
                    <pic:cNvPicPr>
                      <a:picLocks noChangeArrowheads="1" noChangeAspect="1"/>
                    </pic:cNvPicPr>
                  </pic:nvPicPr>
                  <pic:blipFill>
                    <a:blip r:embed="rId22"/>
                    <a:stretch>
                      <a:fillRect/>
                    </a:stretch>
                  </pic:blipFill>
                  <pic:spPr bwMode="auto">
                    <a:xfrm>
                      <a:off x="0" y="0"/>
                      <a:ext cx="5334000" cy="5334000"/>
                    </a:xfrm>
                    <a:prstGeom prst="rect">
                      <a:avLst/>
                    </a:prstGeom>
                    <a:noFill/>
                    <a:ln w="9525">
                      <a:noFill/>
                      <a:headEnd/>
                      <a:tailEnd/>
                    </a:ln>
                  </pic:spPr>
                </pic:pic>
              </a:graphicData>
            </a:graphic>
          </wp:inline>
        </w:drawing>
      </w:r>
    </w:p>
    <w:bookmarkEnd w:id="23"/>
    <w:bookmarkStart w:id="26" w:name="name"/>
    <w:p>
      <w:pPr>
        <w:pStyle w:val="Figure"/>
      </w:pPr>
      <w:r>
        <w:drawing>
          <wp:inline>
            <wp:extent cx="1956816" cy="1097280"/>
            <wp:effectExtent b="0" l="0" r="0" t="0"/>
            <wp:docPr descr="" title="" id="1" name="Picture"/>
            <a:graphic>
              <a:graphicData uri="http://schemas.openxmlformats.org/drawingml/2006/picture">
                <pic:pic>
                  <pic:nvPicPr>
                    <pic:cNvPr descr="assets/Photos/roundtable-empty.jpg" id="0" name="Picture"/>
                    <pic:cNvPicPr>
                      <a:picLocks noChangeArrowheads="1" noChangeAspect="1"/>
                    </pic:cNvPicPr>
                  </pic:nvPicPr>
                  <pic:blipFill>
                    <a:blip r:embed="rId24"/>
                    <a:stretch>
                      <a:fillRect/>
                    </a:stretch>
                  </pic:blipFill>
                  <pic:spPr bwMode="auto">
                    <a:xfrm>
                      <a:off x="0" y="0"/>
                      <a:ext cx="1956816" cy="1097280"/>
                    </a:xfrm>
                    <a:prstGeom prst="rect">
                      <a:avLst/>
                    </a:prstGeom>
                    <a:noFill/>
                    <a:ln w="9525">
                      <a:noFill/>
                      <a:headEnd/>
                      <a:tailEnd/>
                    </a:ln>
                  </pic:spPr>
                </pic:pic>
              </a:graphicData>
            </a:graphic>
          </wp:inline>
        </w:drawing>
      </w:r>
    </w:p>
    <w:p>
      <w:pPr>
        <w:pStyle w:val="FirstParagraph"/>
      </w:pPr>
      <w:r>
        <w:t xml:space="preserve">Why Roundtable</w:t>
      </w:r>
    </w:p>
    <w:p>
      <w:pPr>
        <w:pStyle w:val="Heading2"/>
      </w:pPr>
      <w:bookmarkStart w:id="25" w:name="everyone-has-an-equal-seat-at-the-table."/>
      <w:r>
        <w:t xml:space="preserve">Everyone has an equal seat at the table.</w:t>
      </w:r>
      <w:bookmarkEnd w:id="25"/>
    </w:p>
    <w:p>
      <w:pPr>
        <w:pStyle w:val="FirstParagraph"/>
      </w:pPr>
      <w:r>
        <w:t xml:space="preserve">The name is the method. The best growth solutions come when the sponsor, the management team, the customer-facing teams and the specialists all have an equal say, and the best idea wins on evidence.</w:t>
      </w:r>
    </w:p>
    <w:p>
      <w:pPr>
        <w:pStyle w:val="BodyText"/>
      </w:pPr>
      <w:r>
        <w:rPr>
          <w:b/>
        </w:rPr>
        <w:t xml:space="preserve">Growth is the objective.</w:t>
      </w:r>
      <w:r>
        <w:t xml:space="preserve"> </w:t>
      </w:r>
      <w:r>
        <w:t xml:space="preserve">We execute with virtual partners and a strong bench of vertical talent, assembled around each mandate rather than carried as overhead. One accountable leader stays on the work from first diagnosis to handoff.</w:t>
      </w:r>
    </w:p>
    <w:p>
      <w:pPr>
        <w:pStyle w:val="BodyText"/>
      </w:pPr>
      <w:r>
        <w:t xml:space="preserve">Each pillar puts that principle to work. Tests let evidence decide. Partnerships give others a real seat. Tuck-ins bring new teams to the table with a shared plan.</w:t>
      </w:r>
    </w:p>
    <w:bookmarkEnd w:id="26"/>
    <w:bookmarkStart w:id="31" w:name="ways"/>
    <w:p>
      <w:pPr>
        <w:pStyle w:val="BodyText"/>
      </w:pPr>
      <w:r>
        <w:t xml:space="preserve">Where process and systems create value</w:t>
      </w:r>
    </w:p>
    <w:p>
      <w:pPr>
        <w:pStyle w:val="Heading2"/>
      </w:pPr>
      <w:bookmarkStart w:id="27" w:name="three-pillars-of-growth."/>
      <w:r>
        <w:t xml:space="preserve">Three pillars of growth.</w:t>
      </w:r>
      <w:bookmarkEnd w:id="27"/>
    </w:p>
    <w:p>
      <w:pPr>
        <w:pStyle w:val="FirstParagraph"/>
      </w:pPr>
      <w:r>
        <w:t xml:space="preserve">Each pillar stands on its own and builds on the others. Test to learn what is real, partner to move faster, acquire to add momentum.</w:t>
      </w:r>
    </w:p>
    <w:p>
      <w:pPr>
        <w:pStyle w:val="BodyText"/>
      </w:pPr>
      <w:r>
        <w:t xml:space="preserve">Pillar 1</w:t>
      </w:r>
    </w:p>
    <w:p>
      <w:pPr>
        <w:pStyle w:val="Heading3"/>
      </w:pPr>
      <w:bookmarkStart w:id="28" w:name="testing"/>
      <w:r>
        <w:t xml:space="preserve">Testing</w:t>
      </w:r>
      <w:bookmarkEnd w:id="28"/>
    </w:p>
    <w:p>
      <w:pPr>
        <w:pStyle w:val="FirstParagraph"/>
      </w:pPr>
      <w:r>
        <w:t xml:space="preserve">Know before you grow.</w:t>
      </w:r>
    </w:p>
    <w:p>
      <w:pPr>
        <w:pStyle w:val="BodyText"/>
      </w:pPr>
      <w:r>
        <w:t xml:space="preserve">Testing replaces opinion with evidence. We start small, in the market, so you learn what customers will actually buy before adding people or spending significant capital.</w:t>
      </w:r>
    </w:p>
    <w:p>
      <w:pPr>
        <w:numPr>
          <w:ilvl w:val="0"/>
          <w:numId w:val="1002"/>
        </w:numPr>
        <w:pStyle w:val="Compact"/>
      </w:pPr>
      <w:r>
        <w:rPr>
          <w:b/>
        </w:rPr>
        <w:t xml:space="preserve">Empirical:</w:t>
      </w:r>
      <w:r>
        <w:t xml:space="preserve"> </w:t>
      </w:r>
      <w:r>
        <w:t xml:space="preserve">measurable results against a baseline, with the decision rule set in advance.</w:t>
      </w:r>
    </w:p>
    <w:p>
      <w:pPr>
        <w:numPr>
          <w:ilvl w:val="0"/>
          <w:numId w:val="1002"/>
        </w:numPr>
        <w:pStyle w:val="Compact"/>
      </w:pPr>
      <w:r>
        <w:rPr>
          <w:b/>
        </w:rPr>
        <w:t xml:space="preserve">Fast:</w:t>
      </w:r>
      <w:r>
        <w:t xml:space="preserve"> </w:t>
      </w:r>
      <w:r>
        <w:t xml:space="preserve">answers in weeks, not quarters.</w:t>
      </w:r>
    </w:p>
    <w:p>
      <w:pPr>
        <w:numPr>
          <w:ilvl w:val="0"/>
          <w:numId w:val="1002"/>
        </w:numPr>
        <w:pStyle w:val="Compact"/>
      </w:pPr>
      <w:r>
        <w:rPr>
          <w:b/>
        </w:rPr>
        <w:t xml:space="preserve">Lean:</w:t>
      </w:r>
      <w:r>
        <w:t xml:space="preserve"> </w:t>
      </w:r>
      <w:r>
        <w:t xml:space="preserve">minimal cost and headcount until the idea is proven.</w:t>
      </w:r>
    </w:p>
    <w:p>
      <w:pPr>
        <w:numPr>
          <w:ilvl w:val="0"/>
          <w:numId w:val="1002"/>
        </w:numPr>
        <w:pStyle w:val="Compact"/>
      </w:pPr>
      <w:r>
        <w:rPr>
          <w:b/>
        </w:rPr>
        <w:t xml:space="preserve">Pilots:</w:t>
      </w:r>
      <w:r>
        <w:t xml:space="preserve"> </w:t>
      </w:r>
      <w:r>
        <w:t xml:space="preserve">anecdotal and directional, they show how customers and teams respond in practice.</w:t>
      </w:r>
    </w:p>
    <w:p>
      <w:pPr>
        <w:numPr>
          <w:ilvl w:val="0"/>
          <w:numId w:val="1002"/>
        </w:numPr>
        <w:pStyle w:val="Compact"/>
      </w:pPr>
      <w:r>
        <w:rPr>
          <w:b/>
        </w:rPr>
        <w:t xml:space="preserve">Safe to fail:</w:t>
      </w:r>
      <w:r>
        <w:t xml:space="preserve"> </w:t>
      </w:r>
      <w:r>
        <w:t xml:space="preserve">weak ideas stop early, and strong ones earn the investment.</w:t>
      </w:r>
    </w:p>
    <w:p>
      <w:pPr>
        <w:pStyle w:val="FirstParagraph"/>
      </w:pPr>
      <w:r>
        <w:t xml:space="preserve">Pillar 2</w:t>
      </w:r>
    </w:p>
    <w:p>
      <w:pPr>
        <w:pStyle w:val="Heading3"/>
      </w:pPr>
      <w:bookmarkStart w:id="29" w:name="partnerships"/>
      <w:r>
        <w:t xml:space="preserve">Partnerships</w:t>
      </w:r>
      <w:bookmarkEnd w:id="29"/>
    </w:p>
    <w:p>
      <w:pPr>
        <w:pStyle w:val="FirstParagraph"/>
      </w:pPr>
      <w:r>
        <w:t xml:space="preserve">Double down on what you do best.</w:t>
      </w:r>
    </w:p>
    <w:p>
      <w:pPr>
        <w:pStyle w:val="BodyText"/>
      </w:pPr>
      <w:r>
        <w:t xml:space="preserve">Strategic alliances pair your strengths with a partner's assets, so you can grow faster without building everything yourself.</w:t>
      </w:r>
    </w:p>
    <w:p>
      <w:pPr>
        <w:numPr>
          <w:ilvl w:val="0"/>
          <w:numId w:val="1003"/>
        </w:numPr>
        <w:pStyle w:val="Compact"/>
      </w:pPr>
      <w:r>
        <w:rPr>
          <w:b/>
        </w:rPr>
        <w:t xml:space="preserve">Speed:</w:t>
      </w:r>
      <w:r>
        <w:t xml:space="preserve"> </w:t>
      </w:r>
      <w:r>
        <w:t xml:space="preserve">reach new customers, channels or capabilities in weeks.</w:t>
      </w:r>
    </w:p>
    <w:p>
      <w:pPr>
        <w:numPr>
          <w:ilvl w:val="0"/>
          <w:numId w:val="1003"/>
        </w:numPr>
        <w:pStyle w:val="Compact"/>
      </w:pPr>
      <w:r>
        <w:rPr>
          <w:b/>
        </w:rPr>
        <w:t xml:space="preserve">Lower cost:</w:t>
      </w:r>
      <w:r>
        <w:t xml:space="preserve"> </w:t>
      </w:r>
      <w:r>
        <w:t xml:space="preserve">share investment and infrastructure instead of carrying it alone.</w:t>
      </w:r>
    </w:p>
    <w:p>
      <w:pPr>
        <w:numPr>
          <w:ilvl w:val="0"/>
          <w:numId w:val="1003"/>
        </w:numPr>
        <w:pStyle w:val="Compact"/>
      </w:pPr>
      <w:r>
        <w:rPr>
          <w:b/>
        </w:rPr>
        <w:t xml:space="preserve">Less risk and liability:</w:t>
      </w:r>
      <w:r>
        <w:t xml:space="preserve"> </w:t>
      </w:r>
      <w:r>
        <w:t xml:space="preserve">staged, scoped commitments, with exposure allocated by agreement.</w:t>
      </w:r>
    </w:p>
    <w:p>
      <w:pPr>
        <w:numPr>
          <w:ilvl w:val="0"/>
          <w:numId w:val="1003"/>
        </w:numPr>
        <w:pStyle w:val="Compact"/>
      </w:pPr>
      <w:r>
        <w:rPr>
          <w:b/>
        </w:rPr>
        <w:t xml:space="preserve">Focus:</w:t>
      </w:r>
      <w:r>
        <w:t xml:space="preserve"> </w:t>
      </w:r>
      <w:r>
        <w:t xml:space="preserve">lead where your organization is great, and let partners cover the rest.</w:t>
      </w:r>
    </w:p>
    <w:p>
      <w:pPr>
        <w:numPr>
          <w:ilvl w:val="0"/>
          <w:numId w:val="1003"/>
        </w:numPr>
        <w:pStyle w:val="Compact"/>
      </w:pPr>
      <w:r>
        <w:rPr>
          <w:b/>
        </w:rPr>
        <w:t xml:space="preserve">Three keys:</w:t>
      </w:r>
      <w:r>
        <w:t xml:space="preserve"> </w:t>
      </w:r>
      <w:r>
        <w:t xml:space="preserve">shared values, complementary skills and resources, and above all, alignment.</w:t>
      </w:r>
    </w:p>
    <w:p>
      <w:pPr>
        <w:pStyle w:val="FirstParagraph"/>
      </w:pPr>
      <w:r>
        <w:t xml:space="preserve">Pillar 3</w:t>
      </w:r>
    </w:p>
    <w:p>
      <w:pPr>
        <w:pStyle w:val="Heading3"/>
      </w:pPr>
      <w:bookmarkStart w:id="30" w:name="acquisitions"/>
      <w:r>
        <w:t xml:space="preserve">Acquisitions</w:t>
      </w:r>
      <w:bookmarkEnd w:id="30"/>
    </w:p>
    <w:p>
      <w:pPr>
        <w:pStyle w:val="FirstParagraph"/>
      </w:pPr>
      <w:r>
        <w:t xml:space="preserve">Tuck-ins that build momentum.</w:t>
      </w:r>
    </w:p>
    <w:p>
      <w:pPr>
        <w:pStyle w:val="BodyText"/>
      </w:pPr>
      <w:r>
        <w:t xml:space="preserve">A tuck-in adds a product, customer base, team or capability to what you already do. Smaller deals close faster and carry less risk, and early wins create momentum for the next step.</w:t>
      </w:r>
    </w:p>
    <w:p>
      <w:pPr>
        <w:numPr>
          <w:ilvl w:val="0"/>
          <w:numId w:val="1004"/>
        </w:numPr>
        <w:pStyle w:val="Compact"/>
      </w:pPr>
      <w:r>
        <w:rPr>
          <w:b/>
        </w:rPr>
        <w:t xml:space="preserve">Easier to close:</w:t>
      </w:r>
      <w:r>
        <w:t xml:space="preserve"> </w:t>
      </w:r>
      <w:r>
        <w:t xml:space="preserve">smaller, simpler and quicker to diligence and negotiate.</w:t>
      </w:r>
    </w:p>
    <w:p>
      <w:pPr>
        <w:numPr>
          <w:ilvl w:val="0"/>
          <w:numId w:val="1004"/>
        </w:numPr>
        <w:pStyle w:val="Compact"/>
      </w:pPr>
      <w:r>
        <w:rPr>
          <w:b/>
        </w:rPr>
        <w:t xml:space="preserve">Less risk:</w:t>
      </w:r>
      <w:r>
        <w:t xml:space="preserve"> </w:t>
      </w:r>
      <w:r>
        <w:t xml:space="preserve">smaller checks, a known fit and a bounded downside.</w:t>
      </w:r>
    </w:p>
    <w:p>
      <w:pPr>
        <w:numPr>
          <w:ilvl w:val="0"/>
          <w:numId w:val="1004"/>
        </w:numPr>
        <w:pStyle w:val="Compact"/>
      </w:pPr>
      <w:r>
        <w:rPr>
          <w:b/>
        </w:rPr>
        <w:t xml:space="preserve">Speed:</w:t>
      </w:r>
      <w:r>
        <w:t xml:space="preserve"> </w:t>
      </w:r>
      <w:r>
        <w:t xml:space="preserve">buy capability and customers instead of building them.</w:t>
      </w:r>
    </w:p>
    <w:p>
      <w:pPr>
        <w:numPr>
          <w:ilvl w:val="0"/>
          <w:numId w:val="1004"/>
        </w:numPr>
        <w:pStyle w:val="Compact"/>
      </w:pPr>
      <w:r>
        <w:rPr>
          <w:b/>
        </w:rPr>
        <w:t xml:space="preserve">Full process:</w:t>
      </w:r>
      <w:r>
        <w:t xml:space="preserve"> </w:t>
      </w:r>
      <w:r>
        <w:t xml:space="preserve">we help identify targets, finance, price and structure the deal, and build alignment through integration.</w:t>
      </w:r>
    </w:p>
    <w:p>
      <w:pPr>
        <w:numPr>
          <w:ilvl w:val="0"/>
          <w:numId w:val="1004"/>
        </w:numPr>
        <w:pStyle w:val="Compact"/>
      </w:pPr>
      <w:r>
        <w:rPr>
          <w:b/>
        </w:rPr>
        <w:t xml:space="preserve">Repeatable:</w:t>
      </w:r>
      <w:r>
        <w:t xml:space="preserve"> </w:t>
      </w:r>
      <w:r>
        <w:t xml:space="preserve">a proven playbook, so each deal is easier than the last.</w:t>
      </w:r>
    </w:p>
    <w:bookmarkEnd w:id="31"/>
    <w:bookmarkStart w:id="37" w:name="approach"/>
    <w:p>
      <w:pPr>
        <w:pStyle w:val="FirstParagraph"/>
      </w:pPr>
      <w:r>
        <w:t xml:space="preserve">Our approach</w:t>
      </w:r>
    </w:p>
    <w:p>
      <w:pPr>
        <w:pStyle w:val="Heading2"/>
      </w:pPr>
      <w:bookmarkStart w:id="32" w:name="identify.-build.-scale.-monetize."/>
      <w:r>
        <w:t xml:space="preserve">Identify. Build. Scale. Monetize.</w:t>
      </w:r>
      <w:bookmarkEnd w:id="32"/>
    </w:p>
    <w:p>
      <w:pPr>
        <w:pStyle w:val="FirstParagraph"/>
      </w:pPr>
      <w:r>
        <w:t xml:space="preserve">A disciplined sequence helps management see which ideas merit investment and which ones should wait.</w:t>
      </w:r>
    </w:p>
    <w:p>
      <w:pPr>
        <w:pStyle w:val="BodyText"/>
      </w:pPr>
      <w:r>
        <w:rPr>
          <w:i/>
        </w:rPr>
        <w:t xml:space="preserve">1</w:t>
      </w:r>
    </w:p>
    <w:p>
      <w:pPr>
        <w:pStyle w:val="Heading3"/>
      </w:pPr>
      <w:bookmarkStart w:id="33" w:name="identify"/>
      <w:r>
        <w:t xml:space="preserve">Identify</w:t>
      </w:r>
      <w:bookmarkEnd w:id="33"/>
    </w:p>
    <w:p>
      <w:pPr>
        <w:pStyle w:val="FirstParagraph"/>
      </w:pPr>
      <w:r>
        <w:t xml:space="preserve">Frame the growth question and shortlist the best opportunities to test, partner on or acquire.</w:t>
      </w:r>
    </w:p>
    <w:p>
      <w:pPr>
        <w:pStyle w:val="BodyText"/>
      </w:pPr>
      <w:r>
        <w:rPr>
          <w:i/>
        </w:rPr>
        <w:t xml:space="preserve">2</w:t>
      </w:r>
    </w:p>
    <w:p>
      <w:pPr>
        <w:pStyle w:val="Heading3"/>
      </w:pPr>
      <w:bookmarkStart w:id="34" w:name="test"/>
      <w:r>
        <w:t xml:space="preserve">Test</w:t>
      </w:r>
      <w:bookmarkEnd w:id="34"/>
    </w:p>
    <w:p>
      <w:pPr>
        <w:pStyle w:val="FirstParagraph"/>
      </w:pPr>
      <w:r>
        <w:t xml:space="preserve">Run the smallest real-world test or pilot that can answer an important customer, partner or economic question.</w:t>
      </w:r>
    </w:p>
    <w:p>
      <w:pPr>
        <w:pStyle w:val="BodyText"/>
      </w:pPr>
      <w:r>
        <w:rPr>
          <w:i/>
        </w:rPr>
        <w:t xml:space="preserve">3</w:t>
      </w:r>
    </w:p>
    <w:p>
      <w:pPr>
        <w:pStyle w:val="Heading3"/>
      </w:pPr>
      <w:bookmarkStart w:id="35" w:name="decide"/>
      <w:r>
        <w:t xml:space="preserve">Decide</w:t>
      </w:r>
      <w:bookmarkEnd w:id="35"/>
    </w:p>
    <w:p>
      <w:pPr>
        <w:pStyle w:val="FirstParagraph"/>
      </w:pPr>
      <w:r>
        <w:t xml:space="preserve">Review demand, economics and the quality of the evidence with management and the sponsor. Choose to build, partner or acquire, and state what remains unknown.</w:t>
      </w:r>
    </w:p>
    <w:p>
      <w:pPr>
        <w:pStyle w:val="BodyText"/>
      </w:pPr>
      <w:r>
        <w:rPr>
          <w:i/>
        </w:rPr>
        <w:t xml:space="preserve">4</w:t>
      </w:r>
    </w:p>
    <w:p>
      <w:pPr>
        <w:pStyle w:val="Heading3"/>
      </w:pPr>
      <w:bookmarkStart w:id="36" w:name="scale"/>
      <w:r>
        <w:t xml:space="preserve">Scale</w:t>
      </w:r>
      <w:bookmarkEnd w:id="36"/>
    </w:p>
    <w:p>
      <w:pPr>
        <w:pStyle w:val="FirstParagraph"/>
      </w:pPr>
      <w:r>
        <w:t xml:space="preserve">Put people and capital behind what earns it, assign an accountable owner, or stop and carry the learning forward.</w:t>
      </w:r>
    </w:p>
    <w:p>
      <w:pPr>
        <w:pStyle w:val="BodyText"/>
      </w:pPr>
      <w:r>
        <w:t xml:space="preserve">Goal: profitable growth with low lift, high impact</w:t>
      </w:r>
      <w:r>
        <w:t xml:space="preserve"> </w:t>
      </w:r>
      <w:r>
        <w:t xml:space="preserve">Testing</w:t>
      </w:r>
      <w:r>
        <w:t xml:space="preserve"> </w:t>
      </w:r>
      <w:r>
        <w:t xml:space="preserve">Evidence before capital</w:t>
      </w:r>
      <w:r>
        <w:t xml:space="preserve"> </w:t>
      </w:r>
      <w:r>
        <w:t xml:space="preserve">– One question, one owner</w:t>
      </w:r>
      <w:r>
        <w:t xml:space="preserve"> </w:t>
      </w:r>
      <w:r>
        <w:t xml:space="preserve">– Decision rule set first</w:t>
      </w:r>
      <w:r>
        <w:t xml:space="preserve"> </w:t>
      </w:r>
      <w:r>
        <w:t xml:space="preserve">– Paid pilots, 3 months max</w:t>
      </w:r>
      <w:r>
        <w:t xml:space="preserve"> </w:t>
      </w:r>
      <w:r>
        <w:t xml:space="preserve">Partnerships</w:t>
      </w:r>
      <w:r>
        <w:t xml:space="preserve"> </w:t>
      </w:r>
      <w:r>
        <w:t xml:space="preserve">Speed and reach, shared risk</w:t>
      </w:r>
      <w:r>
        <w:t xml:space="preserve"> </w:t>
      </w:r>
      <w:r>
        <w:t xml:space="preserve">– Values, fit, alignment</w:t>
      </w:r>
      <w:r>
        <w:t xml:space="preserve"> </w:t>
      </w:r>
      <w:r>
        <w:t xml:space="preserve">– Climb only on evidence</w:t>
      </w:r>
      <w:r>
        <w:t xml:space="preserve"> </w:t>
      </w:r>
      <w:r>
        <w:t xml:space="preserve">– Exit terms written first</w:t>
      </w:r>
      <w:r>
        <w:t xml:space="preserve"> </w:t>
      </w:r>
      <w:r>
        <w:t xml:space="preserve">Acquisitions</w:t>
      </w:r>
      <w:r>
        <w:t xml:space="preserve"> </w:t>
      </w:r>
      <w:r>
        <w:t xml:space="preserve">Tuck-ins that build momentum</w:t>
      </w:r>
      <w:r>
        <w:t xml:space="preserve"> </w:t>
      </w:r>
      <w:r>
        <w:t xml:space="preserve">– Thesis before target</w:t>
      </w:r>
      <w:r>
        <w:t xml:space="preserve"> </w:t>
      </w:r>
      <w:r>
        <w:t xml:space="preserve">– Downside engineered out</w:t>
      </w:r>
      <w:r>
        <w:t xml:space="preserve"> </w:t>
      </w:r>
      <w:r>
        <w:t xml:space="preserve">– 100-day plan pre-signing</w:t>
      </w:r>
      <w:r>
        <w:t xml:space="preserve"> </w:t>
      </w:r>
      <w:r>
        <w:t xml:space="preserve">Every idea runs</w:t>
      </w:r>
      <w:r>
        <w:t xml:space="preserve"> </w:t>
      </w:r>
      <w:r>
        <w:t xml:space="preserve">Identify</w:t>
      </w:r>
      <w:r>
        <w:t xml:space="preserve"> </w:t>
      </w:r>
      <w:r>
        <w:t xml:space="preserve">Test</w:t>
      </w:r>
      <w:r>
        <w:t xml:space="preserve"> </w:t>
      </w:r>
      <w:r>
        <w:t xml:space="preserve">Decide</w:t>
      </w:r>
      <w:r>
        <w:t xml:space="preserve"> </w:t>
      </w:r>
      <w:r>
        <w:t xml:space="preserve">Scale</w:t>
      </w:r>
      <w:r>
        <w:t xml:space="preserve"> </w:t>
      </w:r>
      <w:r>
        <w:t xml:space="preserve">scale what earns it, or stop and keep the learning</w:t>
      </w:r>
      <w:r>
        <w:t xml:space="preserve"> </w:t>
      </w:r>
      <w:r>
        <w:t xml:space="preserve">Distribution network: 21 organizations, 119,000+ leaders</w:t>
      </w:r>
      <w:r>
        <w:t xml:space="preserve"> </w:t>
      </w:r>
      <w:r>
        <w:t xml:space="preserve">pilot customers · channel partners · proprietary deal flow</w:t>
      </w:r>
    </w:p>
    <w:p>
      <w:pPr>
        <w:pStyle w:val="BodyText"/>
      </w:pPr>
      <w:r>
        <w:t xml:space="preserve">One network feeds three pillars, and every idea runs the same loop</w:t>
      </w:r>
    </w:p>
    <w:p>
      <w:pPr>
        <w:pStyle w:val="BodyText"/>
      </w:pPr>
      <w:r>
        <w:t xml:space="preserve">Tests produce empirical data. Pilots add anecdotal, directional insight into how customers and teams respond. Together they set how much confidence a decision deserves.</w:t>
      </w:r>
    </w:p>
    <w:bookmarkEnd w:id="37"/>
    <w:bookmarkStart w:id="51" w:name="table"/>
    <w:p>
      <w:pPr>
        <w:pStyle w:val="BodyText"/>
      </w:pPr>
      <w:r>
        <w:t xml:space="preserve">The table</w:t>
      </w:r>
    </w:p>
    <w:p>
      <w:pPr>
        <w:pStyle w:val="Heading2"/>
      </w:pPr>
      <w:bookmarkStart w:id="38" w:name="a-bench-built-for-each-mandate."/>
      <w:r>
        <w:t xml:space="preserve">A bench built for each mandate.</w:t>
      </w:r>
      <w:bookmarkEnd w:id="38"/>
    </w:p>
    <w:p>
      <w:pPr>
        <w:pStyle w:val="FirstParagraph"/>
      </w:pPr>
      <w:r>
        <w:t xml:space="preserve">RGP stays accountable for scope, decisions and handoff across all three pillars, backed by a bench of specialists you can call on anytime.</w:t>
      </w:r>
    </w:p>
    <w:p>
      <w:pPr>
        <w:pStyle w:val="BodyText"/>
      </w:pPr>
      <w:r>
        <w:drawing>
          <wp:inline>
            <wp:extent cx="5080000" cy="5080000"/>
            <wp:effectExtent b="0" l="0" r="0" t="0"/>
            <wp:docPr descr="Devin Schain" title="" id="1" name="Picture"/>
            <a:graphic>
              <a:graphicData uri="http://schemas.openxmlformats.org/drawingml/2006/picture">
                <pic:pic>
                  <pic:nvPicPr>
                    <pic:cNvPr descr="team-devin.png" id="0" name="Picture"/>
                    <pic:cNvPicPr>
                      <a:picLocks noChangeArrowheads="1" noChangeAspect="1"/>
                    </pic:cNvPicPr>
                  </pic:nvPicPr>
                  <pic:blipFill>
                    <a:blip r:embed="rId39"/>
                    <a:stretch>
                      <a:fillRect/>
                    </a:stretch>
                  </pic:blipFill>
                  <pic:spPr bwMode="auto">
                    <a:xfrm>
                      <a:off x="0" y="0"/>
                      <a:ext cx="5080000" cy="5080000"/>
                    </a:xfrm>
                    <a:prstGeom prst="rect">
                      <a:avLst/>
                    </a:prstGeom>
                    <a:noFill/>
                    <a:ln w="9525">
                      <a:noFill/>
                      <a:headEnd/>
                      <a:tailEnd/>
                    </a:ln>
                  </pic:spPr>
                </pic:pic>
              </a:graphicData>
            </a:graphic>
          </wp:inline>
        </w:drawing>
      </w:r>
    </w:p>
    <w:p>
      <w:pPr>
        <w:pStyle w:val="Heading3"/>
      </w:pPr>
      <w:bookmarkStart w:id="40" w:name="devin-schain"/>
      <w:r>
        <w:t xml:space="preserve">Devin Schain</w:t>
      </w:r>
      <w:bookmarkEnd w:id="40"/>
    </w:p>
    <w:p>
      <w:pPr>
        <w:pStyle w:val="FirstParagraph"/>
      </w:pPr>
      <w:r>
        <w:t xml:space="preserve">Growth Leader</w:t>
      </w:r>
    </w:p>
    <w:p>
      <w:pPr>
        <w:pStyle w:val="BodyText"/>
      </w:pPr>
      <w:r>
        <w:t xml:space="preserve">Leads each mandate across the three pillars and owns the client relationship, the quality of decisions and the handoff.</w:t>
      </w:r>
    </w:p>
    <w:p>
      <w:pPr>
        <w:pStyle w:val="BodyText"/>
      </w:pPr>
      <w:hyperlink r:id="rId41">
        <w:r>
          <w:rPr>
            <w:rStyle w:val="Hyperlink"/>
          </w:rPr>
          <w:t xml:space="preserve">LinkedIn →</w:t>
        </w:r>
      </w:hyperlink>
    </w:p>
    <w:p>
      <w:pPr>
        <w:pStyle w:val="BodyText"/>
      </w:pPr>
      <w:r>
        <w:drawing>
          <wp:inline>
            <wp:extent cx="4076700" cy="4076700"/>
            <wp:effectExtent b="0" l="0" r="0" t="0"/>
            <wp:docPr descr="Jack Daly" title="" id="1" name="Picture"/>
            <a:graphic>
              <a:graphicData uri="http://schemas.openxmlformats.org/drawingml/2006/picture">
                <pic:pic>
                  <pic:nvPicPr>
                    <pic:cNvPr descr="team-jack.png" id="0" name="Picture"/>
                    <pic:cNvPicPr>
                      <a:picLocks noChangeArrowheads="1" noChangeAspect="1"/>
                    </pic:cNvPicPr>
                  </pic:nvPicPr>
                  <pic:blipFill>
                    <a:blip r:embed="rId42"/>
                    <a:stretch>
                      <a:fillRect/>
                    </a:stretch>
                  </pic:blipFill>
                  <pic:spPr bwMode="auto">
                    <a:xfrm>
                      <a:off x="0" y="0"/>
                      <a:ext cx="4076700" cy="4076700"/>
                    </a:xfrm>
                    <a:prstGeom prst="rect">
                      <a:avLst/>
                    </a:prstGeom>
                    <a:noFill/>
                    <a:ln w="9525">
                      <a:noFill/>
                      <a:headEnd/>
                      <a:tailEnd/>
                    </a:ln>
                  </pic:spPr>
                </pic:pic>
              </a:graphicData>
            </a:graphic>
          </wp:inline>
        </w:drawing>
      </w:r>
    </w:p>
    <w:p>
      <w:pPr>
        <w:pStyle w:val="Heading3"/>
      </w:pPr>
      <w:bookmarkStart w:id="43" w:name="jack-daly"/>
      <w:r>
        <w:t xml:space="preserve">Jack Daly</w:t>
      </w:r>
      <w:bookmarkEnd w:id="43"/>
    </w:p>
    <w:p>
      <w:pPr>
        <w:pStyle w:val="FirstParagraph"/>
      </w:pPr>
      <w:r>
        <w:t xml:space="preserve">Sales</w:t>
      </w:r>
    </w:p>
    <w:p>
      <w:pPr>
        <w:pStyle w:val="BodyText"/>
      </w:pPr>
      <w:r>
        <w:t xml:space="preserve">Sales leadership and sales effectiveness: tests of offers, pricing and channels, and partner-led selling.</w:t>
      </w:r>
    </w:p>
    <w:p>
      <w:pPr>
        <w:pStyle w:val="BodyText"/>
      </w:pPr>
      <w:hyperlink r:id="rId44">
        <w:r>
          <w:rPr>
            <w:rStyle w:val="Hyperlink"/>
          </w:rPr>
          <w:t xml:space="preserve">LinkedIn →</w:t>
        </w:r>
      </w:hyperlink>
    </w:p>
    <w:p>
      <w:pPr>
        <w:pStyle w:val="BodyText"/>
      </w:pPr>
      <w:r>
        <w:drawing>
          <wp:inline>
            <wp:extent cx="5080000" cy="5080000"/>
            <wp:effectExtent b="0" l="0" r="0" t="0"/>
            <wp:docPr descr="Benjamin Lieblich" title="" id="1" name="Picture"/>
            <a:graphic>
              <a:graphicData uri="http://schemas.openxmlformats.org/drawingml/2006/picture">
                <pic:pic>
                  <pic:nvPicPr>
                    <pic:cNvPr descr="team-ben.png" id="0" name="Picture"/>
                    <pic:cNvPicPr>
                      <a:picLocks noChangeArrowheads="1" noChangeAspect="1"/>
                    </pic:cNvPicPr>
                  </pic:nvPicPr>
                  <pic:blipFill>
                    <a:blip r:embed="rId45"/>
                    <a:stretch>
                      <a:fillRect/>
                    </a:stretch>
                  </pic:blipFill>
                  <pic:spPr bwMode="auto">
                    <a:xfrm>
                      <a:off x="0" y="0"/>
                      <a:ext cx="5080000" cy="5080000"/>
                    </a:xfrm>
                    <a:prstGeom prst="rect">
                      <a:avLst/>
                    </a:prstGeom>
                    <a:noFill/>
                    <a:ln w="9525">
                      <a:noFill/>
                      <a:headEnd/>
                      <a:tailEnd/>
                    </a:ln>
                  </pic:spPr>
                </pic:pic>
              </a:graphicData>
            </a:graphic>
          </wp:inline>
        </w:drawing>
      </w:r>
    </w:p>
    <w:p>
      <w:pPr>
        <w:pStyle w:val="Heading3"/>
      </w:pPr>
      <w:bookmarkStart w:id="46" w:name="benjamin-lieblich"/>
      <w:r>
        <w:t xml:space="preserve">Benjamin Lieblich</w:t>
      </w:r>
      <w:bookmarkEnd w:id="46"/>
    </w:p>
    <w:p>
      <w:pPr>
        <w:pStyle w:val="FirstParagraph"/>
      </w:pPr>
      <w:r>
        <w:t xml:space="preserve">Finance</w:t>
      </w:r>
    </w:p>
    <w:p>
      <w:pPr>
        <w:pStyle w:val="BodyText"/>
      </w:pPr>
      <w:r>
        <w:t xml:space="preserve">Economics, structuring and tuck-in evaluation: the financial case for each test, partnership and acquisition.</w:t>
      </w:r>
    </w:p>
    <w:p>
      <w:pPr>
        <w:pStyle w:val="BodyText"/>
      </w:pPr>
      <w:hyperlink r:id="rId47">
        <w:r>
          <w:rPr>
            <w:rStyle w:val="Hyperlink"/>
          </w:rPr>
          <w:t xml:space="preserve">LinkedIn →</w:t>
        </w:r>
      </w:hyperlink>
    </w:p>
    <w:p>
      <w:pPr>
        <w:pStyle w:val="BodyText"/>
      </w:pPr>
      <w:r>
        <w:drawing>
          <wp:inline>
            <wp:extent cx="5080000" cy="5080000"/>
            <wp:effectExtent b="0" l="0" r="0" t="0"/>
            <wp:docPr descr="Stephen Douglass" title="" id="1" name="Picture"/>
            <a:graphic>
              <a:graphicData uri="http://schemas.openxmlformats.org/drawingml/2006/picture">
                <pic:pic>
                  <pic:nvPicPr>
                    <pic:cNvPr descr="team-stephen.png" id="0" name="Picture"/>
                    <pic:cNvPicPr>
                      <a:picLocks noChangeArrowheads="1" noChangeAspect="1"/>
                    </pic:cNvPicPr>
                  </pic:nvPicPr>
                  <pic:blipFill>
                    <a:blip r:embed="rId48"/>
                    <a:stretch>
                      <a:fillRect/>
                    </a:stretch>
                  </pic:blipFill>
                  <pic:spPr bwMode="auto">
                    <a:xfrm>
                      <a:off x="0" y="0"/>
                      <a:ext cx="5080000" cy="5080000"/>
                    </a:xfrm>
                    <a:prstGeom prst="rect">
                      <a:avLst/>
                    </a:prstGeom>
                    <a:noFill/>
                    <a:ln w="9525">
                      <a:noFill/>
                      <a:headEnd/>
                      <a:tailEnd/>
                    </a:ln>
                  </pic:spPr>
                </pic:pic>
              </a:graphicData>
            </a:graphic>
          </wp:inline>
        </w:drawing>
      </w:r>
    </w:p>
    <w:p>
      <w:pPr>
        <w:pStyle w:val="Heading3"/>
      </w:pPr>
      <w:bookmarkStart w:id="49" w:name="stephen-douglass"/>
      <w:r>
        <w:t xml:space="preserve">Stephen Douglass</w:t>
      </w:r>
      <w:bookmarkEnd w:id="49"/>
    </w:p>
    <w:p>
      <w:pPr>
        <w:pStyle w:val="FirstParagraph"/>
      </w:pPr>
      <w:r>
        <w:t xml:space="preserve">Operator</w:t>
      </w:r>
    </w:p>
    <w:p>
      <w:pPr>
        <w:pStyle w:val="BodyText"/>
      </w:pPr>
      <w:r>
        <w:t xml:space="preserve">Execution and operating support to turn pilots into daily practice and to integrate partners and acquisitions.</w:t>
      </w:r>
    </w:p>
    <w:p>
      <w:pPr>
        <w:pStyle w:val="BodyText"/>
      </w:pPr>
      <w:hyperlink r:id="rId50">
        <w:r>
          <w:rPr>
            <w:rStyle w:val="Hyperlink"/>
          </w:rPr>
          <w:t xml:space="preserve">LinkedIn →</w:t>
        </w:r>
      </w:hyperlink>
    </w:p>
    <w:bookmarkEnd w:id="51"/>
    <w:bookmarkStart w:id="53" w:name="case-studies-teaser"/>
    <w:p>
      <w:pPr>
        <w:pStyle w:val="BodyText"/>
      </w:pPr>
      <w:r>
        <w:t xml:space="preserve">Case studies</w:t>
      </w:r>
    </w:p>
    <w:p>
      <w:pPr>
        <w:pStyle w:val="Heading2"/>
      </w:pPr>
      <w:bookmarkStart w:id="52" w:name="case-studies."/>
      <w:r>
        <w:t xml:space="preserve">Case studies.</w:t>
      </w:r>
      <w:bookmarkEnd w:id="52"/>
    </w:p>
    <w:p>
      <w:pPr>
        <w:pStyle w:val="FirstParagraph"/>
      </w:pPr>
      <w:r>
        <w:t xml:space="preserve">One engagement for each pillar: Testing, Partnerships and Acquisitions, with the results each one produced.</w:t>
      </w:r>
    </w:p>
    <w:p>
      <w:pPr>
        <w:pStyle w:val="BodyText"/>
      </w:pPr>
      <w:r>
        <w:t xml:space="preserve">Pillar 1 · Testing</w:t>
      </w:r>
    </w:p>
    <w:p>
      <w:pPr>
        <w:pStyle w:val="BodyText"/>
      </w:pPr>
      <w:r>
        <w:t xml:space="preserve">ZMC &amp; Associates</w:t>
      </w:r>
    </w:p>
    <w:p>
      <w:pPr>
        <w:pStyle w:val="BodyText"/>
      </w:pPr>
      <w:r>
        <w:t xml:space="preserve">Building the Growth Engine from the Ground Up</w:t>
      </w:r>
    </w:p>
    <w:p>
      <w:pPr>
        <w:pStyle w:val="BodyText"/>
      </w:pPr>
      <w:r>
        <w:rPr>
          <w:b/>
        </w:rPr>
        <w:t xml:space="preserve">125%</w:t>
      </w:r>
      <w:r>
        <w:t xml:space="preserve">lead generation increase</w:t>
      </w:r>
    </w:p>
    <w:p>
      <w:pPr>
        <w:pStyle w:val="BodyText"/>
      </w:pPr>
      <w:r>
        <w:rPr>
          <w:b/>
        </w:rPr>
        <w:t xml:space="preserve">5+</w:t>
      </w:r>
      <w:r>
        <w:t xml:space="preserve">channels in 30 days</w:t>
      </w:r>
    </w:p>
    <w:p>
      <w:pPr>
        <w:pStyle w:val="BodyText"/>
      </w:pPr>
      <w:r>
        <w:rPr>
          <w:b/>
        </w:rPr>
        <w:t xml:space="preserve">42%</w:t>
      </w:r>
      <w:r>
        <w:t xml:space="preserve">ROAS improvement</w:t>
      </w:r>
    </w:p>
    <w:p>
      <w:pPr>
        <w:pStyle w:val="BodyText"/>
      </w:pPr>
      <w:r>
        <w:t xml:space="preserve">Pillar 2 · Partnerships</w:t>
      </w:r>
    </w:p>
    <w:p>
      <w:pPr>
        <w:pStyle w:val="BodyText"/>
      </w:pPr>
      <w:r>
        <w:t xml:space="preserve">Hampden Watch Co.</w:t>
      </w:r>
    </w:p>
    <w:p>
      <w:pPr>
        <w:pStyle w:val="BodyText"/>
      </w:pPr>
      <w:r>
        <w:t xml:space="preserve">From Family Instinct to a Repeatable Affinity Growth System</w:t>
      </w:r>
    </w:p>
    <w:p>
      <w:pPr>
        <w:pStyle w:val="BodyText"/>
      </w:pPr>
      <w:r>
        <w:rPr>
          <w:b/>
        </w:rPr>
        <w:t xml:space="preserve">20+</w:t>
      </w:r>
      <w:r>
        <w:t xml:space="preserve">partners scored &amp; ranked</w:t>
      </w:r>
    </w:p>
    <w:p>
      <w:pPr>
        <w:pStyle w:val="BodyText"/>
      </w:pPr>
      <w:r>
        <w:rPr>
          <w:b/>
        </w:rPr>
        <w:t xml:space="preserve">4</w:t>
      </w:r>
      <w:r>
        <w:t xml:space="preserve">affinity channels mapped</w:t>
      </w:r>
    </w:p>
    <w:p>
      <w:pPr>
        <w:pStyle w:val="BodyText"/>
      </w:pPr>
      <w:r>
        <w:rPr>
          <w:b/>
        </w:rPr>
        <w:t xml:space="preserve">1st</w:t>
      </w:r>
      <w:r>
        <w:t xml:space="preserve">repeatable system built</w:t>
      </w:r>
    </w:p>
    <w:p>
      <w:pPr>
        <w:pStyle w:val="BodyText"/>
      </w:pPr>
      <w:r>
        <w:t xml:space="preserve">Pillar 3 · Acquisitions</w:t>
      </w:r>
    </w:p>
    <w:p>
      <w:pPr>
        <w:pStyle w:val="BodyText"/>
      </w:pPr>
      <w:r>
        <w:t xml:space="preserve">Luminate</w:t>
      </w:r>
    </w:p>
    <w:p>
      <w:pPr>
        <w:pStyle w:val="BodyText"/>
      </w:pPr>
      <w:r>
        <w:t xml:space="preserve">From Staffing Agency to Scalable Talent Platform</w:t>
      </w:r>
    </w:p>
    <w:p>
      <w:pPr>
        <w:pStyle w:val="BodyText"/>
      </w:pPr>
      <w:r>
        <w:rPr>
          <w:b/>
        </w:rPr>
        <w:t xml:space="preserve">3</w:t>
      </w:r>
      <w:r>
        <w:t xml:space="preserve">new product offerings</w:t>
      </w:r>
    </w:p>
    <w:p>
      <w:pPr>
        <w:pStyle w:val="BodyText"/>
      </w:pPr>
      <w:r>
        <w:rPr>
          <w:b/>
        </w:rPr>
        <w:t xml:space="preserve">26%</w:t>
      </w:r>
      <w:r>
        <w:t xml:space="preserve">shorter sales cycle</w:t>
      </w:r>
    </w:p>
    <w:p>
      <w:pPr>
        <w:pStyle w:val="BodyText"/>
      </w:pPr>
      <w:r>
        <w:rPr>
          <w:b/>
        </w:rPr>
        <w:t xml:space="preserve">56%</w:t>
      </w:r>
      <w:r>
        <w:t xml:space="preserve">higher avg lifetime value</w:t>
      </w:r>
    </w:p>
    <w:p>
      <w:pPr>
        <w:pStyle w:val="BodyText"/>
      </w:pPr>
      <w:hyperlink r:id="rId20">
        <w:r>
          <w:rPr>
            <w:rStyle w:val="Hyperlink"/>
          </w:rPr>
          <w:t xml:space="preserve">Read the full case studies</w:t>
        </w:r>
      </w:hyperlink>
    </w:p>
    <w:bookmarkEnd w:id="53"/>
    <w:bookmarkStart w:id="55" w:name="investors"/>
    <w:p>
      <w:pPr>
        <w:pStyle w:val="BodyText"/>
      </w:pPr>
      <w:r>
        <w:t xml:space="preserve">For private equity, family offices, and privately held companies</w:t>
      </w:r>
    </w:p>
    <w:p>
      <w:pPr>
        <w:pStyle w:val="Heading2"/>
      </w:pPr>
      <w:bookmarkStart w:id="54" w:name="X56340af960d6a97c9cb278c8cbe458ba73bc7d5"/>
      <w:r>
        <w:t xml:space="preserve">A commercial growth resource across the investment lifecycle.</w:t>
      </w:r>
      <w:bookmarkEnd w:id="54"/>
    </w:p>
    <w:p>
      <w:pPr>
        <w:pStyle w:val="FirstParagraph"/>
      </w:pPr>
      <w:r>
        <w:t xml:space="preserve">For a portfolio company, the question may be where its next profitable revenue engine can come from. For an investment team, it may be whether a new category, platform or acquisition thesis has a credible commercial path.</w:t>
      </w:r>
    </w:p>
    <w:p>
      <w:pPr>
        <w:pStyle w:val="BodyText"/>
      </w:pPr>
      <w:r>
        <w:t xml:space="preserve">RGP brings an owner's perspective to the front of the business: opportunity identification, customer and channel insight, sales strategy, partnerships and business development. When a question needs deeper analytics, technology, finance or operating implementation, the right specialist joins the work.</w:t>
      </w:r>
    </w:p>
    <w:p>
      <w:pPr>
        <w:pStyle w:val="BodyText"/>
      </w:pPr>
      <w:r>
        <w:t xml:space="preserve">Across the lifecycle, the pillars give companies a practical path: test a thesis before committing capital, partner to enter new markets with shared risk, and use tuck-ins to add capability and momentum to a portfolio company.</w:t>
      </w:r>
    </w:p>
    <w:p>
      <w:pPr>
        <w:pStyle w:val="BodyText"/>
      </w:pPr>
      <w:r>
        <w:rPr>
          <w:b/>
        </w:rPr>
        <w:t xml:space="preserve">The aim:</w:t>
      </w:r>
      <w:r>
        <w:t xml:space="preserve"> </w:t>
      </w:r>
      <w:r>
        <w:t xml:space="preserve">connect growth ideas to customer evidence, investment choices and accountable execution, while building useful learning across companies where sponsors and management choose to share it.</w:t>
      </w:r>
    </w:p>
    <w:bookmarkEnd w:id="55"/>
    <w:bookmarkStart w:id="61" w:name="offers"/>
    <w:p>
      <w:pPr>
        <w:pStyle w:val="BodyText"/>
      </w:pPr>
      <w:r>
        <w:t xml:space="preserve">Ways to work together</w:t>
      </w:r>
    </w:p>
    <w:p>
      <w:pPr>
        <w:pStyle w:val="Heading2"/>
      </w:pPr>
      <w:bookmarkStart w:id="56" w:name="the-process."/>
      <w:r>
        <w:t xml:space="preserve">The process.</w:t>
      </w:r>
      <w:bookmarkEnd w:id="56"/>
    </w:p>
    <w:p>
      <w:pPr>
        <w:pStyle w:val="Heading3"/>
      </w:pPr>
      <w:bookmarkStart w:id="57" w:name="growth-opportunity-diagnostic"/>
      <w:r>
        <w:t xml:space="preserve">Growth Opportunity Diagnostic</w:t>
      </w:r>
      <w:bookmarkEnd w:id="57"/>
    </w:p>
    <w:p>
      <w:pPr>
        <w:pStyle w:val="FirstParagraph"/>
      </w:pPr>
      <w:r>
        <w:t xml:space="preserve">A ranked growth thesis, its assumptions, economics and risks, and a 90-day plan of tests, partnerships and tuck-in candidates, with owners.</w:t>
      </w:r>
    </w:p>
    <w:p>
      <w:pPr>
        <w:pStyle w:val="Heading3"/>
      </w:pPr>
      <w:bookmarkStart w:id="58" w:name="validation-sprint"/>
      <w:r>
        <w:t xml:space="preserve">Validation Sprint</w:t>
      </w:r>
      <w:bookmarkEnd w:id="58"/>
    </w:p>
    <w:p>
      <w:pPr>
        <w:pStyle w:val="FirstParagraph"/>
      </w:pPr>
      <w:r>
        <w:t xml:space="preserve">One or two high-value tests or pilots in market, a scorecard, and a scale, revise or stop recommendation.</w:t>
      </w:r>
    </w:p>
    <w:p>
      <w:pPr>
        <w:pStyle w:val="Heading3"/>
      </w:pPr>
      <w:bookmarkStart w:id="59" w:name="growth-system-build"/>
      <w:r>
        <w:t xml:space="preserve">Growth System Build</w:t>
      </w:r>
      <w:bookmarkEnd w:id="59"/>
    </w:p>
    <w:p>
      <w:pPr>
        <w:pStyle w:val="FirstParagraph"/>
      </w:pPr>
      <w:r>
        <w:t xml:space="preserve">Turn validated work into repeatable practice: a playbook, operating cadence, partner and talent plan, a partnership or tuck-in pipeline, and handoff.</w:t>
      </w:r>
    </w:p>
    <w:p>
      <w:pPr>
        <w:pStyle w:val="Heading3"/>
      </w:pPr>
      <w:bookmarkStart w:id="60" w:name="embedded-operator"/>
      <w:r>
        <w:t xml:space="preserve">Embedded Operator</w:t>
      </w:r>
      <w:bookmarkEnd w:id="60"/>
    </w:p>
    <w:p>
      <w:pPr>
        <w:pStyle w:val="FirstParagraph"/>
      </w:pPr>
      <w:r>
        <w:t xml:space="preserve">Senior leadership embedded with defined decision rights, to drive a specific growth workstream.</w:t>
      </w:r>
    </w:p>
    <w:bookmarkEnd w:id="61"/>
    <w:bookmarkStart w:id="66" w:name="practices"/>
    <w:p>
      <w:pPr>
        <w:pStyle w:val="BodyText"/>
      </w:pPr>
      <w:r>
        <w:t xml:space="preserve">Best practices across the three pillars</w:t>
      </w:r>
    </w:p>
    <w:p>
      <w:pPr>
        <w:pStyle w:val="Heading2"/>
      </w:pPr>
      <w:bookmarkStart w:id="62" w:name="best-practices."/>
      <w:r>
        <w:t xml:space="preserve">Best practices.</w:t>
      </w:r>
      <w:bookmarkEnd w:id="62"/>
    </w:p>
    <w:p>
      <w:pPr>
        <w:pStyle w:val="FirstParagraph"/>
      </w:pPr>
      <w:r>
        <w:t xml:space="preserve">We structure the work and teach the practices behind each pillar, so your team can repeat them without us.</w:t>
      </w:r>
    </w:p>
    <w:p>
      <w:pPr>
        <w:pStyle w:val="Heading3"/>
      </w:pPr>
      <w:bookmarkStart w:id="63" w:name="testing-1"/>
      <w:r>
        <w:t xml:space="preserve">Testing</w:t>
      </w:r>
      <w:bookmarkEnd w:id="63"/>
    </w:p>
    <w:p>
      <w:pPr>
        <w:numPr>
          <w:ilvl w:val="0"/>
          <w:numId w:val="1005"/>
        </w:numPr>
        <w:pStyle w:val="Compact"/>
      </w:pPr>
      <w:r>
        <w:t xml:space="preserve">One question, one accountable owner.</w:t>
      </w:r>
    </w:p>
    <w:p>
      <w:pPr>
        <w:numPr>
          <w:ilvl w:val="0"/>
          <w:numId w:val="1005"/>
        </w:numPr>
        <w:pStyle w:val="Compact"/>
      </w:pPr>
      <w:r>
        <w:t xml:space="preserve">Set the metric, budget and decision rule before launch.</w:t>
      </w:r>
    </w:p>
    <w:p>
      <w:pPr>
        <w:numPr>
          <w:ilvl w:val="0"/>
          <w:numId w:val="1005"/>
        </w:numPr>
        <w:pStyle w:val="Compact"/>
      </w:pPr>
      <w:r>
        <w:t xml:space="preserve">Establish a baseline, so improvement is measurable.</w:t>
      </w:r>
    </w:p>
    <w:p>
      <w:pPr>
        <w:numPr>
          <w:ilvl w:val="0"/>
          <w:numId w:val="1005"/>
        </w:numPr>
        <w:pStyle w:val="Compact"/>
      </w:pPr>
      <w:r>
        <w:t xml:space="preserve">Record every result, including the failures.</w:t>
      </w:r>
    </w:p>
    <w:p>
      <w:pPr>
        <w:pStyle w:val="Heading3"/>
      </w:pPr>
      <w:bookmarkStart w:id="64" w:name="partnerships-1"/>
      <w:r>
        <w:t xml:space="preserve">Partnerships</w:t>
      </w:r>
      <w:bookmarkEnd w:id="64"/>
    </w:p>
    <w:p>
      <w:pPr>
        <w:numPr>
          <w:ilvl w:val="0"/>
          <w:numId w:val="1006"/>
        </w:numPr>
        <w:pStyle w:val="Compact"/>
      </w:pPr>
      <w:r>
        <w:t xml:space="preserve">Put scope, duration, success measures and exit terms in writing.</w:t>
      </w:r>
    </w:p>
    <w:p>
      <w:pPr>
        <w:numPr>
          <w:ilvl w:val="0"/>
          <w:numId w:val="1006"/>
        </w:numPr>
        <w:pStyle w:val="Compact"/>
      </w:pPr>
      <w:r>
        <w:t xml:space="preserve">Choose for shared values, complementary strengths and alignment.</w:t>
      </w:r>
    </w:p>
    <w:p>
      <w:pPr>
        <w:numPr>
          <w:ilvl w:val="0"/>
          <w:numId w:val="1006"/>
        </w:numPr>
        <w:pStyle w:val="Compact"/>
      </w:pPr>
      <w:r>
        <w:t xml:space="preserve">Stage commitments: start small and expand as results earn it.</w:t>
      </w:r>
    </w:p>
    <w:p>
      <w:pPr>
        <w:numPr>
          <w:ilvl w:val="0"/>
          <w:numId w:val="1006"/>
        </w:numPr>
        <w:pStyle w:val="Compact"/>
      </w:pPr>
      <w:r>
        <w:t xml:space="preserve">Settle customer ownership, data, IP and liability early.</w:t>
      </w:r>
    </w:p>
    <w:p>
      <w:pPr>
        <w:pStyle w:val="Heading3"/>
      </w:pPr>
      <w:bookmarkStart w:id="65" w:name="acquisitions-1"/>
      <w:r>
        <w:t xml:space="preserve">Acquisitions</w:t>
      </w:r>
      <w:bookmarkEnd w:id="65"/>
    </w:p>
    <w:p>
      <w:pPr>
        <w:numPr>
          <w:ilvl w:val="0"/>
          <w:numId w:val="1007"/>
        </w:numPr>
        <w:pStyle w:val="Compact"/>
      </w:pPr>
      <w:r>
        <w:t xml:space="preserve">Start with a thesis: why buy rather than build or partner.</w:t>
      </w:r>
    </w:p>
    <w:p>
      <w:pPr>
        <w:numPr>
          <w:ilvl w:val="0"/>
          <w:numId w:val="1007"/>
        </w:numPr>
        <w:pStyle w:val="Compact"/>
      </w:pPr>
      <w:r>
        <w:t xml:space="preserve">Source through relationships and network, not only brokered processes.</w:t>
      </w:r>
    </w:p>
    <w:p>
      <w:pPr>
        <w:numPr>
          <w:ilvl w:val="0"/>
          <w:numId w:val="1007"/>
        </w:numPr>
        <w:pStyle w:val="Compact"/>
      </w:pPr>
      <w:r>
        <w:t xml:space="preserve">Finance, price and structure to align interests and limit downside.</w:t>
      </w:r>
    </w:p>
    <w:p>
      <w:pPr>
        <w:numPr>
          <w:ilvl w:val="0"/>
          <w:numId w:val="1007"/>
        </w:numPr>
        <w:pStyle w:val="Compact"/>
      </w:pPr>
      <w:r>
        <w:t xml:space="preserve">Plan integration before close, with an owner and a 100-day plan.</w:t>
      </w:r>
    </w:p>
    <w:bookmarkEnd w:id="66"/>
    <w:bookmarkStart w:id="69" w:name="contact"/>
    <w:p>
      <w:pPr>
        <w:pStyle w:val="Heading2"/>
      </w:pPr>
      <w:bookmarkStart w:id="67" w:name="Xe63eb5671c52df37fd0ee07a670bf9e7d0cfef6"/>
      <w:r>
        <w:t xml:space="preserve">Where could the next growth opportunity come from?</w:t>
      </w:r>
      <w:bookmarkEnd w:id="67"/>
    </w:p>
    <w:p>
      <w:pPr>
        <w:pStyle w:val="FirstParagraph"/>
      </w:pPr>
      <w:r>
        <w:t xml:space="preserve">Start with the decision, the customer and the evidence you have. We can identify which tests, partnerships or tuck-ins are worth exploring, and what a focused first step could answer.</w:t>
      </w:r>
    </w:p>
    <w:p>
      <w:pPr>
        <w:pStyle w:val="BodyText"/>
      </w:pPr>
      <w:hyperlink r:id="rId68">
        <w:r>
          <w:rPr>
            <w:rStyle w:val="Hyperlink"/>
          </w:rPr>
          <w:t xml:space="preserve">Discuss a growth opportunity</w:t>
        </w:r>
      </w:hyperlink>
    </w:p>
    <w:bookmarkEnd w:id="69"/>
    <w:bookmarkEnd w:id="70"/>
    <w:p>
      <w:pPr>
        <w:pStyle w:val="BodyText"/>
      </w:pPr>
      <w:r>
        <w:rPr>
          <w:b/>
        </w:rPr>
        <w:t xml:space="preserve">Roundtable Growth Partners</w:t>
      </w:r>
      <w:r>
        <w:br/>
      </w:r>
      <w:r>
        <w:t xml:space="preserve">RGP · Performance into profitable growth</w:t>
      </w:r>
    </w:p>
    <w:p>
      <w:pPr>
        <w:pStyle w:val="BodyText"/>
      </w:pPr>
      <w:hyperlink r:id="rId71">
        <w:r>
          <w:rPr>
            <w:rStyle w:val="Hyperlink"/>
          </w:rPr>
          <w:t xml:space="preserve">devin@roundtablegrowthpartners.com</w:t>
        </w:r>
      </w:hyperlink>
      <w:r>
        <w:br/>
      </w:r>
      <w:r>
        <w:t xml:space="preserve">©</w:t>
      </w:r>
      <w:r>
        <w:t xml:space="preserve"> </w:t>
      </w:r>
      <w:bookmarkStart w:id="72" w:name="y"/>
      <w:r>
        <w:t xml:space="preserve">2026</w:t>
      </w:r>
      <w:bookmarkEnd w:id="72"/>
      <w:r>
        <w:t xml:space="preserve"> </w:t>
      </w:r>
      <w:r>
        <w:t xml:space="preserve">Roundtable Growth Partners. All rights reserved.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jpg" /><Relationship Type="http://schemas.openxmlformats.org/officeDocument/2006/relationships/image" Id="rId22" Target="media/rId22.jpg" /><Relationship Type="http://schemas.openxmlformats.org/officeDocument/2006/relationships/image" Id="rId45" Target="media/rId45.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8" Target="media/rId48.png" /><Relationship Type="http://schemas.openxmlformats.org/officeDocument/2006/relationships/hyperlink" Id="rId20" Target="case-studies.html" TargetMode="External" /><Relationship Type="http://schemas.openxmlformats.org/officeDocument/2006/relationships/hyperlink" Id="rId47" Target="https://www.linkedin.com/in/benlieblich/" TargetMode="External" /><Relationship Type="http://schemas.openxmlformats.org/officeDocument/2006/relationships/hyperlink" Id="rId41" Target="https://www.linkedin.com/in/devin-schain/" TargetMode="External" /><Relationship Type="http://schemas.openxmlformats.org/officeDocument/2006/relationships/hyperlink" Id="rId44" Target="https://www.linkedin.com/in/jackdaly/" TargetMode="External" /><Relationship Type="http://schemas.openxmlformats.org/officeDocument/2006/relationships/hyperlink" Id="rId50" Target="https://www.linkedin.com/in/stephenjdouglass/" TargetMode="External" /><Relationship Type="http://schemas.openxmlformats.org/officeDocument/2006/relationships/hyperlink" Id="rId71" Target="mailto:devin@roundtablegrowthpartners.com" TargetMode="External" /><Relationship Type="http://schemas.openxmlformats.org/officeDocument/2006/relationships/hyperlink" Id="rId68" Target="mailto:devin@roundtablegrowthpartners.com?subject=Growth%20opportunity%20conversation" TargetMode="External" /></Relationships>
</file>

<file path=word/_rels/footnotes.xml.rels><?xml version="1.0" encoding="UTF-8"?>
<Relationships xmlns="http://schemas.openxmlformats.org/package/2006/relationships"><Relationship Type="http://schemas.openxmlformats.org/officeDocument/2006/relationships/hyperlink" Id="rId20" Target="case-studies.html" TargetMode="External" /><Relationship Type="http://schemas.openxmlformats.org/officeDocument/2006/relationships/hyperlink" Id="rId47" Target="https://www.linkedin.com/in/benlieblich/" TargetMode="External" /><Relationship Type="http://schemas.openxmlformats.org/officeDocument/2006/relationships/hyperlink" Id="rId41" Target="https://www.linkedin.com/in/devin-schain/" TargetMode="External" /><Relationship Type="http://schemas.openxmlformats.org/officeDocument/2006/relationships/hyperlink" Id="rId44" Target="https://www.linkedin.com/in/jackdaly/" TargetMode="External" /><Relationship Type="http://schemas.openxmlformats.org/officeDocument/2006/relationships/hyperlink" Id="rId50" Target="https://www.linkedin.com/in/stephenjdouglass/" TargetMode="External" /><Relationship Type="http://schemas.openxmlformats.org/officeDocument/2006/relationships/hyperlink" Id="rId71" Target="mailto:devin@roundtablegrowthpartners.com" TargetMode="External" /><Relationship Type="http://schemas.openxmlformats.org/officeDocument/2006/relationships/hyperlink" Id="rId68" Target="mailto:devin@roundtablegrowthpartners.com?subject=Growth%20opportunity%20convers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RGP Website Copy</dc:title>
  <dc:creator/>
  <dc:description>Roundtable Growth Partners helps private equity, family offices, and privately held companies accelerate revenue with a low-lift, high-impact method: testing, partnerships and acquisitions.</dc:description>
  <dc:language>en</dc:language>
  <cp:keywords/>
  <dcterms:created xsi:type="dcterms:W3CDTF">2026-10-23T16:51:44Z</dcterms:created>
  <dcterms:modified xsi:type="dcterms:W3CDTF">2026-10-23T16:51:44Z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heme-color">
    <vt:lpwstr>#24313A</vt:lpwstr>
  </property>
  <property fmtid="{D5CDD505-2E9C-101B-9397-08002B2CF9AE}" pid="3" name="viewport">
    <vt:lpwstr>width=device-width,initial-scale=1</vt:lpwstr>
  </property>
</Properties>
</file>