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52"/>
          <w:szCs w:val="52"/>
        </w:rPr>
        <w:t xml:space="preserve">APEX</w:t>
      </w:r>
    </w:p>
    <w:p>
      <w:pPr>
        <w:spacing w:after="80" w:before="0"/>
        <w:jc w:val="center"/>
      </w:pPr>
      <w:r>
        <w:rPr>
          <w:rFonts w:ascii="Arial" w:cs="Arial" w:eastAsia="Arial" w:hAnsi="Arial"/>
          <w:b/>
          <w:bCs/>
          <w:color w:val="2E75B6"/>
          <w:sz w:val="32"/>
          <w:szCs w:val="32"/>
        </w:rPr>
        <w:t xml:space="preserve">VERSION 2.2 FRAMEWORK</w:t>
      </w:r>
    </w:p>
    <w:p>
      <w:pPr>
        <w:spacing w:after="80" w:before="0"/>
        <w:jc w:val="center"/>
      </w:pPr>
      <w:r>
        <w:rPr>
          <w:rFonts w:ascii="Arial" w:cs="Arial" w:eastAsia="Arial" w:hAnsi="Arial"/>
          <w:i/>
          <w:iCs/>
          <w:sz w:val="24"/>
          <w:szCs w:val="24"/>
        </w:rPr>
        <w:t xml:space="preserve">A Proprietary Prospect Scoring System</w:t>
      </w:r>
    </w:p>
    <w:p>
      <w:pPr>
        <w:spacing w:after="200" w:before="0"/>
        <w:jc w:val="center"/>
      </w:pPr>
      <w:r>
        <w:rPr>
          <w:rFonts w:ascii="Arial" w:cs="Arial" w:eastAsia="Arial" w:hAnsi="Arial"/>
          <w:sz w:val="22"/>
          <w:szCs w:val="22"/>
        </w:rPr>
        <w:t xml:space="preserve">Built on Positional Archetypes, Trait Weighting &amp; Historical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DraftOS Integration Layer — 2026 NFL Draft</w:t>
            </w:r>
          </w:p>
          <w:p>
            <w:pPr>
              <w:jc w:val="center"/>
            </w:pPr>
            <w:r>
              <w:rPr>
                <w:rFonts w:ascii="Arial" w:cs="Arial" w:eastAsia="Arial" w:hAnsi="Arial"/>
                <w:i/>
                <w:iCs/>
                <w:color w:val="FFFFFF"/>
                <w:sz w:val="20"/>
                <w:szCs w:val="20"/>
              </w:rPr>
              <w:t xml:space="preserve">Companion to the Sports Almanac Validation Engine</w:t>
            </w:r>
          </w:p>
        </w:tc>
      </w:tr>
    </w:tbl>
    <w:p>
      <w:pPr>
        <w:spacing w:after="200" w:before="0"/>
      </w:pPr>
      <w:r>
        <w:t xml:space="preserve"/>
      </w:r>
    </w:p>
    <w:p>
      <w:pPr>
        <w:jc w:val="center"/>
      </w:pPr>
      <w:r>
        <w:rPr>
          <w:rFonts w:ascii="Arial" w:cs="Arial" w:eastAsia="Arial" w:hAnsi="Arial"/>
          <w:i/>
          <w:iCs/>
          <w:sz w:val="20"/>
          <w:szCs w:val="20"/>
        </w:rPr>
        <w:t xml:space="preserve">CONFIDENTIAL — Internal Use Only | Version 2.2 | March 2026</w:t>
      </w:r>
    </w:p>
    <w:p>
      <w:pPr>
        <w:pStyle w:val="Heading1"/>
        <w:spacing w:after="160" w:before="320"/>
      </w:pPr>
      <w:r>
        <w:rPr>
          <w:rFonts w:ascii="Arial" w:cs="Arial" w:eastAsia="Arial" w:hAnsi="Arial"/>
          <w:b/>
          <w:bCs/>
          <w:color w:val="1F4E79"/>
          <w:sz w:val="28"/>
          <w:szCs w:val="28"/>
        </w:rPr>
        <w:t xml:space="preserve">1. WHAT APEX IS</w:t>
      </w:r>
    </w:p>
    <w:p>
      <w:pPr>
        <w:pBdr>
          <w:bottom w:val="single" w:color="2E75B6" w:sz="6" w:space="1"/>
        </w:pBdr>
        <w:spacing w:after="80" w:before="80"/>
      </w:pPr>
    </w:p>
    <w:p>
      <w:pPr>
        <w:spacing w:after="60" w:before="60"/>
      </w:pPr>
      <w:r>
        <w:rPr>
          <w:rFonts w:ascii="Arial" w:cs="Arial" w:eastAsia="Arial" w:hAnsi="Arial"/>
          <w:sz w:val="22"/>
          <w:szCs w:val="22"/>
        </w:rPr>
        <w:t xml:space="preserve">Apex is the proprietary signal layer of DraftOS. Where the consensus engine aggregates what other scouts and analysts already published, Apex is the original opinion — built from first principles, not averaged from external sources.</w:t>
      </w:r>
    </w:p>
    <w:p>
      <w:pPr>
        <w:spacing w:after="60" w:before="60"/>
      </w:pPr>
      <w:r>
        <w:rPr>
          <w:rFonts w:ascii="Arial" w:cs="Arial" w:eastAsia="Arial" w:hAnsi="Arial"/>
          <w:sz w:val="22"/>
          <w:szCs w:val="22"/>
        </w:rPr>
        <w:t xml:space="preserve">The core idea: identify the greatest players at each position in NFL history, define precisely what made them great, and use those profiles as the measuring stick for every current prospect.</w:t>
      </w:r>
    </w:p>
    <w:p>
      <w:pPr>
        <w:spacing w:after="60" w:before="60"/>
      </w:pPr>
      <w:r>
        <w:rPr>
          <w:rFonts w:ascii="Arial" w:cs="Arial" w:eastAsia="Arial" w:hAnsi="Arial"/>
          <w:sz w:val="22"/>
          <w:szCs w:val="22"/>
        </w:rPr>
        <w:t xml:space="preserve">Apex answers a different question than the consensus engine. Consensus asks: where does the draft world rank this player? Apex asks: how close does this player come to the archetype of greatness at his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sz w:val="22"/>
                <w:szCs w:val="22"/>
              </w:rPr>
              <w:t xml:space="preserve">Apex is not a replacement for consensus ranking.</w:t>
            </w:r>
            <w:r>
              <w:rPr>
                <w:rFonts w:ascii="Arial" w:cs="Arial" w:eastAsia="Arial" w:hAnsi="Arial"/>
                <w:sz w:val="22"/>
                <w:szCs w:val="22"/>
              </w:rPr>
              <w:t xml:space="preserve"> It is a parallel signal. When Apex and consensus agree, conviction is high. When they diverge — that divergence is the most interesting prospect on your board.</w:t>
            </w:r>
          </w:p>
        </w:tc>
      </w:tr>
    </w:tbl>
    <w:p>
      <w:pPr>
        <w:pStyle w:val="Heading1"/>
        <w:spacing w:after="160" w:before="320"/>
      </w:pPr>
      <w:r>
        <w:rPr>
          <w:rFonts w:ascii="Arial" w:cs="Arial" w:eastAsia="Arial" w:hAnsi="Arial"/>
          <w:b/>
          <w:bCs/>
          <w:color w:val="1F4E79"/>
          <w:sz w:val="28"/>
          <w:szCs w:val="28"/>
        </w:rPr>
        <w:t xml:space="preserve">2. VERSION 2.2 CHANGES FROM v2.1</w:t>
      </w:r>
    </w:p>
    <w:p>
      <w:pPr>
        <w:pBdr>
          <w:bottom w:val="single" w:color="2E75B6" w:sz="6" w:space="1"/>
        </w:pBdr>
        <w:spacing w:after="80" w:before="80"/>
      </w:pPr>
    </w:p>
    <w:p>
      <w:pPr>
        <w:spacing w:after="60" w:before="60"/>
      </w:pPr>
      <w:r>
        <w:rPr>
          <w:rFonts w:ascii="Arial" w:cs="Arial" w:eastAsia="Arial" w:hAnsi="Arial"/>
          <w:sz w:val="22"/>
          <w:szCs w:val="22"/>
        </w:rPr>
        <w:t xml:space="preserve">Four calibration-driven changes implemented in v2.2, derived from 2025 class retrospective and 2026 Batch 2 calibration runs across 12 prospects.</w:t>
      </w:r>
    </w:p>
    <w:p>
      <w:pPr>
        <w:spacing w:after="60" w:before="120"/>
      </w:pPr>
      <w:r>
        <w:rPr>
          <w:rFonts w:ascii="Arial" w:cs="Arial" w:eastAsia="Arial" w:hAnsi="Arial"/>
          <w:b/>
          <w:bCs/>
          <w:sz w:val="22"/>
          <w:szCs w:val="22"/>
        </w:rPr>
        <w:t xml:space="preserve">CHANGE 1 — Archetype Weight Differentiation Widened</w:t>
      </w:r>
    </w:p>
    <w:p>
      <w:pPr>
        <w:spacing w:after="60" w:before="60"/>
      </w:pPr>
      <w:r>
        <w:rPr>
          <w:rFonts w:ascii="Arial" w:cs="Arial" w:eastAsia="Arial" w:hAnsi="Arial"/>
          <w:sz w:val="22"/>
          <w:szCs w:val="22"/>
        </w:rPr>
        <w:t xml:space="preserve">Primary differentiating vector per archetype now shifts ±8-10pp from base weights (up from ±3-5pp in v2.1). Root cause: adjacent archetypes with similar weight structures produced near-identical scores for well-rounded prospects, making archetype matching unreliable for the most valuable complete players.</w:t>
      </w:r>
    </w:p>
    <w:p>
      <w:pPr>
        <w:spacing w:after="60" w:before="120"/>
      </w:pPr>
      <w:r>
        <w:rPr>
          <w:rFonts w:ascii="Arial" w:cs="Arial" w:eastAsia="Arial" w:hAnsi="Arial"/>
          <w:b/>
          <w:bCs/>
          <w:sz w:val="22"/>
          <w:szCs w:val="22"/>
        </w:rPr>
        <w:t xml:space="preserve">CHANGE 2 — ILB Archetype Separation: ILB-1 vs ILB-3</w:t>
      </w:r>
    </w:p>
    <w:p>
      <w:pPr>
        <w:spacing w:after="60" w:before="60"/>
      </w:pPr>
      <w:r>
        <w:rPr>
          <w:rFonts w:ascii="Arial" w:cs="Arial" w:eastAsia="Arial" w:hAnsi="Arial"/>
          <w:sz w:val="22"/>
          <w:szCs w:val="22"/>
        </w:rPr>
        <w:t xml:space="preserve">ILB-1 Green Dot archetype now weighted Processing→32% / CompT→8%. ILB-3 Run-First now weighted CompT→24% / Processing→14%. These are mechanistically opposite archetypes — the Schwesinger calibration case revealed that undifferentiated weights produced a false Tweener flag (gap=3.5) on a clean ILB-1 Green Dot prospect. v2.2 weights now cleanly separate anticipatory processors from point-of-attack run defenders.</w:t>
      </w:r>
    </w:p>
    <w:p>
      <w:pPr>
        <w:spacing w:after="60" w:before="120"/>
      </w:pPr>
      <w:r>
        <w:rPr>
          <w:rFonts w:ascii="Arial" w:cs="Arial" w:eastAsia="Arial" w:hAnsi="Arial"/>
          <w:b/>
          <w:bCs/>
          <w:sz w:val="22"/>
          <w:szCs w:val="22"/>
        </w:rPr>
        <w:t xml:space="preserve">CHANGE 3 — QB Character (C2) Base Weight: 8% → 11%</w:t>
      </w:r>
    </w:p>
    <w:p>
      <w:pPr>
        <w:spacing w:after="60" w:before="60"/>
      </w:pPr>
      <w:r>
        <w:rPr>
          <w:rFonts w:ascii="Arial" w:cs="Arial" w:eastAsia="Arial" w:hAnsi="Arial"/>
          <w:sz w:val="22"/>
          <w:szCs w:val="22"/>
        </w:rPr>
        <w:t xml:space="preserve">Character composite base weight at QB elevated from 8% to 11%. QB is the position where character failure (FM-5 Motivation Cliff, Smith Rule) is most catastrophic and most expensive. The Shedeur Sanders calibration case demonstrated the framework was underpricing C2 failure at QB relative to what the market discounts for documented character concerns. 11% reflects QB's unique development dependency on coachability and leadership.</w:t>
      </w:r>
    </w:p>
    <w:p>
      <w:pPr>
        <w:spacing w:after="60" w:before="120"/>
      </w:pPr>
      <w:r>
        <w:rPr>
          <w:rFonts w:ascii="Arial" w:cs="Arial" w:eastAsia="Arial" w:hAnsi="Arial"/>
          <w:b/>
          <w:bCs/>
          <w:sz w:val="22"/>
          <w:szCs w:val="22"/>
        </w:rPr>
        <w:t xml:space="preserve">CHANGE 4 — Gap Flag Logic: COMPRESSION Category Added</w:t>
      </w:r>
    </w:p>
    <w:p>
      <w:pPr>
        <w:spacing w:after="60" w:before="60"/>
      </w:pPr>
      <w:r>
        <w:rPr>
          <w:rFonts w:ascii="Arial" w:cs="Arial" w:eastAsia="Arial" w:hAnsi="Arial"/>
          <w:sz w:val="22"/>
          <w:szCs w:val="22"/>
        </w:rPr>
        <w:t xml:space="preserve">v2.1 gap thresholds flagged any gap &lt;3 as NO_FIT. v2.2 adds COMPRESSION as a distinct category for gaps of 1.0-2.9 points when all trait scores are ≥7. Mathematically, a complete player (no trait below 7) will always compress archetype scores because shared base vectors dominate the sum. COMPRESSION is expected and correct for elite complete prospects. The archetype must be confirmed by mechanism/tape for COMPRESSION cases, not by gap score alone. The NO_FIT flag is reserved for gaps &lt;1.0 point, which indicates genuine archetype mismatch requiring manual review.</w:t>
      </w:r>
    </w:p>
    <w:p>
      <w:pPr>
        <w:spacing w:after="60" w:before="120"/>
      </w:pPr>
      <w:r>
        <w:rPr>
          <w:rFonts w:ascii="Arial" w:cs="Arial" w:eastAsia="Arial" w:hAnsi="Arial"/>
          <w:b/>
          <w:bCs/>
          <w:sz w:val="22"/>
          <w:szCs w:val="22"/>
        </w:rPr>
        <w:t xml:space="preserve">CHANGE 5 — Safety SOS PAA Gate Documented</w:t>
      </w:r>
    </w:p>
    <w:p>
      <w:pPr>
        <w:spacing w:after="60" w:before="60"/>
      </w:pPr>
      <w:r>
        <w:rPr>
          <w:rFonts w:ascii="Arial" w:cs="Arial" w:eastAsia="Arial" w:hAnsi="Arial"/>
          <w:sz w:val="22"/>
          <w:szCs w:val="22"/>
        </w:rPr>
        <w:t xml:space="preserve">Safety position now has an explicit SOS gate in PAA Q3, parallel to the CB PAA Q3 gate. Processing validation at Safety requires top-25 QB competition. Programs producing Safety prospects from non-premium conference schedules (SEC West excluded, Sun Belt, MAC, Group of 5) cannot achieve Tier A Eval Confidence without supplementary processing validation evidence. The Emmanwori calibration case identified approximately 10 picks of unpriced processing risk at consensus that the new gate captures.</w:t>
      </w:r>
    </w:p>
    <w:p>
      <w:pPr>
        <w:pStyle w:val="Heading1"/>
        <w:spacing w:after="160" w:before="320"/>
      </w:pPr>
      <w:r>
        <w:rPr>
          <w:rFonts w:ascii="Arial" w:cs="Arial" w:eastAsia="Arial" w:hAnsi="Arial"/>
          <w:b/>
          <w:bCs/>
          <w:color w:val="1F4E79"/>
          <w:sz w:val="28"/>
          <w:szCs w:val="28"/>
        </w:rPr>
        <w:t xml:space="preserve">3. GAP FLAG LOGIC — v2.2</w:t>
      </w:r>
    </w:p>
    <w:p>
      <w:pPr>
        <w:pBdr>
          <w:bottom w:val="single" w:color="2E75B6" w:sz="6"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400"/>
        <w:gridCol w:w="29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 Range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Capital Action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 pts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Unambiguous archetype match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capital recommendation stands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8–15 pts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match, minor overlap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capital recommendation stands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 pts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TWEENER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Adjacent archetypes competing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FM-6 Risk flag; -1 round capital discount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1–2.9 pts (traits ≥7)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player — mathematical artifact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archetype by mechanism/tape; capital stands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 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NO_FIT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Genuine archetype mismatch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review; Override required before capital recommendation</w:t>
            </w:r>
          </w:p>
        </w:tc>
      </w:tr>
    </w:tbl>
    <w:p>
      <w:pPr>
        <w:spacing w:after="40" w:before="80"/>
      </w:pPr>
      <w:r>
        <w:rPr>
          <w:rFonts w:ascii="Arial" w:cs="Arial" w:eastAsia="Arial" w:hAnsi="Arial"/>
          <w:b/>
          <w:bCs/>
          <w:sz w:val="20"/>
          <w:szCs w:val="20"/>
        </w:rPr>
        <w:t xml:space="preserve">Critical distinction: </w:t>
      </w:r>
      <w:r>
        <w:rPr>
          <w:rFonts w:ascii="Arial" w:cs="Arial" w:eastAsia="Arial" w:hAnsi="Arial"/>
          <w:sz w:val="20"/>
          <w:szCs w:val="20"/>
        </w:rPr>
        <w:t xml:space="preserve">COMPRESSION and NO_FIT were merged as a single NO_FIT flag in v2.1. They are mechanistically different outcomes and require different responses. A complete elite player showing COMPRESSION is the expected behavior of the scoring engine — it is not an error.</w:t>
      </w:r>
    </w:p>
    <w:p>
      <w:pPr>
        <w:pStyle w:val="Heading1"/>
        <w:spacing w:after="160" w:before="320"/>
      </w:pPr>
      <w:r>
        <w:rPr>
          <w:rFonts w:ascii="Arial" w:cs="Arial" w:eastAsia="Arial" w:hAnsi="Arial"/>
          <w:b/>
          <w:bCs/>
          <w:color w:val="1F4E79"/>
          <w:sz w:val="28"/>
          <w:szCs w:val="28"/>
        </w:rPr>
        <w:t xml:space="preserve">4. APEX SCORING ENGINE</w:t>
      </w:r>
    </w:p>
    <w:p>
      <w:pPr>
        <w:pBdr>
          <w:bottom w:val="single" w:color="2E75B6" w:sz="6" w:space="1"/>
        </w:pBdr>
        <w:spacing w:after="80" w:before="80"/>
      </w:pPr>
    </w:p>
    <w:p>
      <w:pPr>
        <w:pStyle w:val="Heading2"/>
        <w:spacing w:after="120" w:before="240"/>
      </w:pPr>
      <w:r>
        <w:rPr>
          <w:rFonts w:ascii="Arial" w:cs="Arial" w:eastAsia="Arial" w:hAnsi="Arial"/>
          <w:b/>
          <w:bCs/>
          <w:color w:val="2E75B6"/>
          <w:sz w:val="24"/>
          <w:szCs w:val="24"/>
        </w:rPr>
        <w:t xml:space="preserve">Scoring Formula (unchanged from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Score(A) = Σ [ trait_weight(i, A) × (prospect_trait_score(i) / 10) ] × 100</w:t>
            </w:r>
          </w:p>
          <w:p>
            <w:pPr>
              <w:jc w:val="center"/>
            </w:pPr>
            <w:r>
              <w:rPr>
                <w:rFonts w:ascii="Arial" w:cs="Arial" w:eastAsia="Arial" w:hAnsi="Arial"/>
                <w:i/>
                <w:iCs/>
                <w:color w:val="FFFFFF"/>
                <w:sz w:val="20"/>
                <w:szCs w:val="20"/>
              </w:rPr>
              <w:t xml:space="preserve">Composite = Score(matched archetype) × Positional Value Coefficient</w:t>
            </w:r>
          </w:p>
        </w:tc>
      </w:tr>
    </w:tbl>
    <w:p>
      <w:pPr>
        <w:spacing w:after="80" w:before="160"/>
      </w:pPr>
      <w:r>
        <w:rPr>
          <w:rFonts w:ascii="Arial" w:cs="Arial" w:eastAsia="Arial" w:hAnsi="Arial"/>
          <w:b/>
          <w:bCs/>
          <w:sz w:val="22"/>
          <w:szCs w:val="22"/>
        </w:rPr>
        <w:t xml:space="preserve">Positional Value Coefficients (PVC):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800"/>
        <w:gridCol w:w="49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Positions</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PVC</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QB, CB, EDGE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Non-negotiable franchise builders; scarcity is permanent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 S, IDL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leverage, high replacement cost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ILB, OLB</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Scheme-dependent value; ILB scarcity varies by system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 TE, C</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Important but depth-survivable at starter level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overvalues; framework prices at supply/demand reality</w:t>
            </w:r>
          </w:p>
        </w:tc>
      </w:tr>
    </w:tbl>
    <w:p>
      <w:pPr>
        <w:pStyle w:val="Heading2"/>
        <w:spacing w:after="120" w:before="240"/>
      </w:pPr>
      <w:r>
        <w:rPr>
          <w:rFonts w:ascii="Arial" w:cs="Arial" w:eastAsia="Arial" w:hAnsi="Arial"/>
          <w:b/>
          <w:bCs/>
          <w:color w:val="2E75B6"/>
          <w:sz w:val="24"/>
          <w:szCs w:val="24"/>
        </w:rPr>
        <w:t xml:space="preserve">Tier Thresholds (unchanged from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85–100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Generational archetype match. 1–2 per class maximum.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70–84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archetype match. Starter ceiling is minimum.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55–69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Credible fit. Starter probability real but conditional.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40–54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match. Raw traits present; execution gaps.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ARCHETYPE MISS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40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not profile as a strong match. Flag for re-evaluation.</w:t>
            </w:r>
          </w:p>
        </w:tc>
      </w:tr>
    </w:tbl>
    <w:p>
      <w:pPr>
        <w:pStyle w:val="Heading1"/>
        <w:spacing w:after="160" w:before="320"/>
      </w:pPr>
      <w:r>
        <w:rPr>
          <w:rFonts w:ascii="Arial" w:cs="Arial" w:eastAsia="Arial" w:hAnsi="Arial"/>
          <w:b/>
          <w:bCs/>
          <w:color w:val="1F4E79"/>
          <w:sz w:val="28"/>
          <w:szCs w:val="28"/>
        </w:rPr>
        <w:t xml:space="preserve">5. ARCHETYPE WEIGHT TABLES — v2.2</w:t>
      </w:r>
    </w:p>
    <w:p>
      <w:pPr>
        <w:pBdr>
          <w:bottom w:val="single" w:color="2E75B6" w:sz="6" w:space="1"/>
        </w:pBdr>
        <w:spacing w:after="80" w:before="80"/>
      </w:pPr>
    </w:p>
    <w:p>
      <w:pPr>
        <w:spacing w:after="60" w:before="60"/>
      </w:pPr>
      <w:r>
        <w:rPr>
          <w:rFonts w:ascii="Arial" w:cs="Arial" w:eastAsia="Arial" w:hAnsi="Arial"/>
          <w:sz w:val="22"/>
          <w:szCs w:val="22"/>
        </w:rPr>
        <w:t xml:space="preserve">Primary differentiating vectors now shift ±8-10pp from base. Only the two modified vectors are shown — all other vectors remain at position base weight (normalized to sum to 100%).</w:t>
      </w:r>
    </w:p>
    <w:p>
      <w:pPr>
        <w:spacing w:after="60" w:before="60"/>
      </w:pPr>
      <w:r>
        <w:rPr>
          <w:rFonts w:ascii="Arial" w:cs="Arial" w:eastAsia="Arial" w:hAnsi="Arial"/>
          <w:sz w:val="22"/>
          <w:szCs w:val="22"/>
        </w:rPr>
        <w:t xml:space="preserve">Vector Index: [0] Processing  [1] Athleticism  [2] SchemeVers  [3] CompTough  [4] Character  [5] DevTraj  [6] Production  [7] Injury</w:t>
      </w:r>
    </w:p>
    <w:p>
      <w:pPr>
        <w:spacing w:after="60" w:before="120"/>
      </w:pPr>
    </w:p>
    <w:p>
      <w:pPr>
        <w:pStyle w:val="Heading2"/>
        <w:spacing w:after="120" w:before="240"/>
      </w:pPr>
      <w:r>
        <w:rPr>
          <w:rFonts w:ascii="Arial" w:cs="Arial" w:eastAsia="Arial" w:hAnsi="Arial"/>
          <w:b/>
          <w:bCs/>
          <w:color w:val="2E75B6"/>
          <w:sz w:val="24"/>
          <w:szCs w:val="24"/>
        </w:rPr>
        <w:t xml:space="preserve">QB Archetypes (C2 Base Weight 11% — v2.2)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1400"/>
        <w:gridCol w:w="17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Archetype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Vector Shift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Secondary Shift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Translation</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FM Risk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QB-1 Elite Field General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 → 30% (+8)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DevTraj → 14%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FM-4 Body Breakdown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QB-2 Game 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SchemeVers → 22% (+7)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 → 18%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FM-2 Scheme Ghost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QB-3 Athletic Armed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Athleticism → 20% (+10)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 → 16% (-6)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2-3</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FM-3 Processing Wall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QB-4 System Specialist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SchemeVers → 24% (+9)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 18%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FM-2 Scheme Ghost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QB-5 Raw Projection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DevTraj → 22% (+10)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 → 15%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FM-3 Processing Wall</w:t>
            </w:r>
          </w:p>
        </w:tc>
      </w:tr>
    </w:tbl>
    <w:p>
      <w:pPr>
        <w:pStyle w:val="Heading2"/>
        <w:spacing w:after="120" w:before="240"/>
      </w:pPr>
      <w:r>
        <w:rPr>
          <w:rFonts w:ascii="Arial" w:cs="Arial" w:eastAsia="Arial" w:hAnsi="Arial"/>
          <w:b/>
          <w:bCs/>
          <w:color w:val="2E75B6"/>
          <w:sz w:val="24"/>
          <w:szCs w:val="24"/>
        </w:rPr>
        <w:t xml:space="preserve">ILB Archetypes — v2.2 DIFFERENTIATION (Key Change)</w:t>
      </w:r>
    </w:p>
    <w:p>
      <w:pPr>
        <w:spacing w:after="80" w:before="80"/>
      </w:pPr>
      <w:r>
        <w:rPr>
          <w:rFonts w:ascii="Arial" w:cs="Arial" w:eastAsia="Arial" w:hAnsi="Arial"/>
          <w:i/>
          <w:iCs/>
          <w:color w:val="C00000"/>
          <w:sz w:val="20"/>
          <w:szCs w:val="20"/>
        </w:rPr>
        <w:t xml:space="preserve">ILB-1 Green Dot and ILB-3 Run-First are now sharply differentiated. These are mechanistically opposite archetypes. v2.1 weights produced false Tweener flags on clean ILB-1 prospects (Schwesinger calibration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760"/>
        <w:gridCol w:w="14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Archetype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Processing Weight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CompTough Weight</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Translation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ILB-1 Green Dot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(+10) ▲ KEY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(-6) ▼</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Anticipatory processor; protection call mastery; pre-snap diagnosis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ILB-2 Pass Rush Hybrid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base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Athletic pass rush from interior; processing enables counter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ILB-3 Run-First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(-8)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(+10) ▲ KEY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Point-of-attack dominance; gap control; physical run stopping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ILB-4 Coverage Specialist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base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 coverage assignments; multiplier safety crossover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ILB-5 Raw Projection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 base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DevTraj → 22% (+12)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Character-dependent ceiling; development-first evaluation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w:t>
            </w:r>
          </w:p>
        </w:tc>
      </w:tr>
    </w:tbl>
    <w:p>
      <w:pPr>
        <w:pStyle w:val="Heading1"/>
        <w:spacing w:after="160" w:before="320"/>
      </w:pPr>
      <w:r>
        <w:rPr>
          <w:rFonts w:ascii="Arial" w:cs="Arial" w:eastAsia="Arial" w:hAnsi="Arial"/>
          <w:b/>
          <w:bCs/>
          <w:color w:val="1F4E79"/>
          <w:sz w:val="28"/>
          <w:szCs w:val="28"/>
        </w:rPr>
        <w:t xml:space="preserve">6. SPECIAL FLAGS — v2.2</w:t>
      </w:r>
    </w:p>
    <w:p>
      <w:pPr>
        <w:pBdr>
          <w:bottom w:val="single" w:color="2E75B6" w:sz="6" w:space="1"/>
        </w:pBdr>
        <w:spacing w:after="80" w:before="80"/>
      </w:pPr>
    </w:p>
    <w:p>
      <w:pPr>
        <w:pStyle w:val="Heading2"/>
        <w:spacing w:after="120" w:before="240"/>
      </w:pPr>
      <w:r>
        <w:rPr>
          <w:rFonts w:ascii="Arial" w:cs="Arial" w:eastAsia="Arial" w:hAnsi="Arial"/>
          <w:b/>
          <w:bCs/>
          <w:color w:val="2E75B6"/>
          <w:sz w:val="24"/>
          <w:szCs w:val="24"/>
        </w:rPr>
        <w:t xml:space="preserve">Two-Way Premium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6000"/>
                <w:sz w:val="22"/>
                <w:szCs w:val="22"/>
              </w:rPr>
              <w:t xml:space="preserve">TWO-WAY PREMIUM — TRIGGER CONDITIONS:</w:t>
            </w:r>
          </w:p>
          <w:p>
            <w:r>
              <w:rPr>
                <w:rFonts w:ascii="Arial" w:cs="Arial" w:eastAsia="Arial" w:hAnsi="Arial"/>
                <w:sz w:val="20"/>
                <w:szCs w:val="20"/>
              </w:rPr>
              <w:t xml:space="preserve">When a prospect scores ELITE tier (85+) on two position archetypes independently, with no modern NFL template for sustained two-way deployment:</w:t>
            </w:r>
          </w:p>
          <w:p>
            <w:r>
              <w:rPr>
                <w:rFonts w:ascii="Arial" w:cs="Arial" w:eastAsia="Arial" w:hAnsi="Arial"/>
                <w:b/>
                <w:bCs/>
                <w:sz w:val="20"/>
                <w:szCs w:val="20"/>
              </w:rPr>
              <w:t xml:space="preserve">Flag as: TWO-WAY PREMIUM — UNPRICED UPSIDE OPTION</w:t>
            </w:r>
          </w:p>
          <w:p>
            <w:r>
              <w:rPr>
                <w:rFonts w:ascii="Arial" w:cs="Arial" w:eastAsia="Arial" w:hAnsi="Arial"/>
                <w:sz w:val="20"/>
                <w:szCs w:val="20"/>
              </w:rPr>
              <w:t xml:space="preserve">Capital recommendation: Drive from the higher-PVC position score. Do not average. Do not discount for the second position — it is free optionality.</w:t>
            </w:r>
          </w:p>
          <w:p>
            <w:r>
              <w:rPr>
                <w:rFonts w:ascii="Arial" w:cs="Arial" w:eastAsia="Arial" w:hAnsi="Arial"/>
                <w:i/>
                <w:iCs/>
                <w:sz w:val="20"/>
                <w:szCs w:val="20"/>
              </w:rPr>
              <w:t xml:space="preserve">Origin case: Travis Hunter (2025) — CB composite ELITE (Tier 1 PVC 1.0x) + WR composite ELITE (Tier 1 PVC 0.9x). No modern two-way comp exists. Both sides justified Top 5 capital independently. Framework correctly recommended Top 5 (Pick 2 actual).</w:t>
            </w:r>
          </w:p>
          <w:p>
            <w:r>
              <w:rPr>
                <w:rFonts w:ascii="Arial" w:cs="Arial" w:eastAsia="Arial" w:hAnsi="Arial"/>
                <w:sz w:val="20"/>
                <w:szCs w:val="20"/>
              </w:rPr>
              <w:t xml:space="preserve">DC evaluation note: Two-Way Premium flag triggers mandatory coaching staff evaluation. The drafting team's defensive coordinator deployment philosophy is as important as the prospect's traits for this flag.</w:t>
            </w:r>
          </w:p>
        </w:tc>
      </w:tr>
    </w:tbl>
    <w:p>
      <w:pPr>
        <w:spacing w:before="160"/>
      </w:pPr>
    </w:p>
    <w:p>
      <w:pPr>
        <w:pStyle w:val="Heading2"/>
        <w:spacing w:after="120" w:before="240"/>
      </w:pPr>
      <w:r>
        <w:rPr>
          <w:rFonts w:ascii="Arial" w:cs="Arial" w:eastAsia="Arial" w:hAnsi="Arial"/>
          <w:b/>
          <w:bCs/>
          <w:color w:val="2E75B6"/>
          <w:sz w:val="24"/>
          <w:szCs w:val="24"/>
        </w:rPr>
        <w:t xml:space="preserve">Safety SOS PAA Gate — v2.2 Addition</w:t>
      </w:r>
    </w:p>
    <w:p>
      <w:pPr>
        <w:spacing w:after="60" w:before="60"/>
      </w:pPr>
      <w:r>
        <w:rPr>
          <w:rFonts w:ascii="Arial" w:cs="Arial" w:eastAsia="Arial" w:hAnsi="Arial"/>
          <w:sz w:val="22"/>
          <w:szCs w:val="22"/>
        </w:rPr>
        <w:t xml:space="preserve">Processing validation at Safety requires top-25 QB competition. Programs from non-premium conference schedules cannot achieve Tier A Eval Confidence without supplementary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SC/ACC/Sun Belt/MAC/G5 primary schedule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 PAA Q3: SOS Flag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 cannot confirm Tier A — drop to Tier B; Processing score review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INTs without zone/man split audit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 PAA Q1: Scheme Flag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held at 7/10 ceiling; INT total treated as unaudited until split confirmed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Box Enforcer (S-2) scoring vs. off-coverage S-4 gap &lt; 5 pts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 Archetype Gap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 note — confirm Box Enforcer assignment via run-fit aggression on tape</w:t>
            </w:r>
          </w:p>
        </w:tc>
      </w:tr>
    </w:tbl>
    <w:p>
      <w:pPr>
        <w:pStyle w:val="Heading1"/>
        <w:spacing w:after="160" w:before="320"/>
      </w:pPr>
      <w:r>
        <w:rPr>
          <w:rFonts w:ascii="Arial" w:cs="Arial" w:eastAsia="Arial" w:hAnsi="Arial"/>
          <w:b/>
          <w:bCs/>
          <w:color w:val="1F4E79"/>
          <w:sz w:val="28"/>
          <w:szCs w:val="28"/>
        </w:rPr>
        <w:t xml:space="preserve">7. OVERRIDE FIELD — DOCTRINE</w:t>
      </w:r>
    </w:p>
    <w:p>
      <w:pPr>
        <w:pBdr>
          <w:bottom w:val="single" w:color="2E75B6" w:sz="6" w:space="1"/>
        </w:pBdr>
        <w:spacing w:after="80" w:before="80"/>
      </w:pPr>
    </w:p>
    <w:p>
      <w:pPr>
        <w:spacing w:after="60" w:before="60"/>
      </w:pPr>
      <w:r>
        <w:rPr>
          <w:rFonts w:ascii="Arial" w:cs="Arial" w:eastAsia="Arial" w:hAnsi="Arial"/>
          <w:sz w:val="22"/>
          <w:szCs w:val="22"/>
        </w:rPr>
        <w:t xml:space="preserve">Override is the analyst's explicit intellectual contribution to the model, made visible and auditable. Every override is logged with rationale. No silent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Override Type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Apply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Mechanism Override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delta — changes matched archetype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PAA/tape confirms a different archetype than scoring engine selects (COMPRESSION cases)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Override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points max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 engine raw score meaningfully misrepresents evaluation (document reason in one sentence)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Override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round max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 Confidence adjustments, known landing spot quality, coaching staff signal</w:t>
            </w:r>
          </w:p>
        </w:tc>
      </w:tr>
    </w:tbl>
    <w:p>
      <w:pPr>
        <w:spacing w:after="80" w:before="80"/>
      </w:pPr>
      <w:r>
        <w:rPr>
          <w:rFonts w:ascii="Arial" w:cs="Arial" w:eastAsia="Arial" w:hAnsi="Arial"/>
          <w:b/>
          <w:bCs/>
          <w:sz w:val="20"/>
          <w:szCs w:val="20"/>
        </w:rPr>
        <w:t xml:space="preserve">Override philosophy: </w:t>
      </w:r>
      <w:r>
        <w:rPr>
          <w:rFonts w:ascii="Arial" w:cs="Arial" w:eastAsia="Arial" w:hAnsi="Arial"/>
          <w:sz w:val="20"/>
          <w:szCs w:val="20"/>
        </w:rPr>
        <w:t xml:space="preserve">An override you cannot explain in one sentence should not be applied. Override frequency &gt;20% triggers bias review. Override frequency &gt;30% triggers major version bump.</w:t>
      </w:r>
    </w:p>
    <w:p>
      <w:pPr>
        <w:pStyle w:val="Heading1"/>
        <w:spacing w:after="160" w:before="320"/>
      </w:pPr>
      <w:r>
        <w:rPr>
          <w:rFonts w:ascii="Arial" w:cs="Arial" w:eastAsia="Arial" w:hAnsi="Arial"/>
          <w:b/>
          <w:bCs/>
          <w:color w:val="1F4E79"/>
          <w:sz w:val="28"/>
          <w:szCs w:val="28"/>
        </w:rPr>
        <w:t xml:space="preserve">8. CALIBRATION RECORD — v2.2</w:t>
      </w:r>
    </w:p>
    <w:p>
      <w:pPr>
        <w:pBdr>
          <w:bottom w:val="single" w:color="2E75B6" w:sz="6" w:space="1"/>
        </w:pBdr>
        <w:spacing w:after="80" w:before="80"/>
      </w:pPr>
    </w:p>
    <w:p>
      <w:pPr>
        <w:pStyle w:val="Heading2"/>
        <w:spacing w:after="120" w:before="240"/>
      </w:pPr>
      <w:r>
        <w:rPr>
          <w:rFonts w:ascii="Arial" w:cs="Arial" w:eastAsia="Arial" w:hAnsi="Arial"/>
          <w:b/>
          <w:bCs/>
          <w:color w:val="2E75B6"/>
          <w:sz w:val="24"/>
          <w:szCs w:val="24"/>
        </w:rPr>
        <w:t xml:space="preserve">2025 Class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200"/>
        <w:gridCol w:w="2100"/>
        <w:gridCol w:w="2000"/>
        <w:gridCol w:w="12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Prospect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Composite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Capital</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Actual</w:t>
            </w:r>
          </w:p>
        </w:tc>
        <w:tc>
          <w:tcPr>
            <w:tcW w:type="dxa" w:w="1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Carson Schwesinger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APEX</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+1R (Schwesinger Full)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Pick 33 (R2)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MISS CONFIRMED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Shedeur Sanders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60.7 (Tier C -2R)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SOLID→R3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Pick 144 (R5)</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DIRECTIONAL CORRECT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Travis Hunter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WR/CB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ELITE (CB: PVC 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Pick 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CONFIRMED ✓</w:t>
            </w:r>
          </w:p>
        </w:tc>
      </w:tr>
    </w:tbl>
    <w:p>
      <w:pPr>
        <w:spacing w:before="120"/>
      </w:pPr>
    </w:p>
    <w:p>
      <w:pPr>
        <w:pStyle w:val="Heading2"/>
        <w:spacing w:after="120" w:before="240"/>
      </w:pPr>
      <w:r>
        <w:rPr>
          <w:rFonts w:ascii="Arial" w:cs="Arial" w:eastAsia="Arial" w:hAnsi="Arial"/>
          <w:b/>
          <w:bCs/>
          <w:color w:val="2E75B6"/>
          <w:sz w:val="24"/>
          <w:szCs w:val="24"/>
        </w:rPr>
        <w:t xml:space="preserve">2026 Class Batch 2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900"/>
        <w:gridCol w:w="1400"/>
        <w:gridCol w:w="1600"/>
        <w:gridCol w:w="1700"/>
        <w:gridCol w:w="11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Prospect</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Composite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Capital</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Consensus</w:t>
            </w:r>
          </w:p>
        </w:tc>
        <w:tc>
          <w:tcPr>
            <w:tcW w:type="dxa" w:w="1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 Flag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Armand Membou</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APEX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+0.5R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Picks 7–18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 (OT-1 by mechanism)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Tate Ratledge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Late +0.5R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Picks 20–35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 (OG-1/OG-2 boundary)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Gunnar Helm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Late +0.5R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R2–R3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 — FRAMEWORK HIGH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Trevor Etienne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R2–R3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R2–R3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NO_FIT (PAA SchV cap)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Nick Emmanwori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APEX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(conditional)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Picks 15–25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 — SOS gate live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Donovan Ezeiruaku</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APEX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Picks 11–32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Picks 20–32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NO_FIT (FM-2 counter risk)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Tyleik Williams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APEX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+0.5R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Picks 15–28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NO_FIT (IDL-1 by mechanism)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Chris Paul Jr.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Late +0.5R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R2–R3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 — FRAMEWORK HIGH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Jared Wilson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Late +1R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Picks 25–40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NO_FIT (OC-1 by mechanism)</w:t>
            </w:r>
          </w:p>
        </w:tc>
      </w:tr>
    </w:tbl>
    <w:p>
      <w:pPr>
        <w:pStyle w:val="Heading1"/>
        <w:spacing w:after="160" w:before="320"/>
      </w:pPr>
      <w:r>
        <w:rPr>
          <w:rFonts w:ascii="Arial" w:cs="Arial" w:eastAsia="Arial" w:hAnsi="Arial"/>
          <w:b/>
          <w:bCs/>
          <w:color w:val="1F4E79"/>
          <w:sz w:val="28"/>
          <w:szCs w:val="28"/>
        </w:rPr>
        <w:t xml:space="preserve">9. AUDIT KILL METRICS</w:t>
      </w:r>
    </w:p>
    <w:p>
      <w:pPr>
        <w:pBdr>
          <w:bottom w:val="single" w:color="2E75B6" w:sz="6" w:space="1"/>
        </w:pBdr>
        <w:spacing w:after="80" w:before="80"/>
      </w:pPr>
    </w:p>
    <w:p>
      <w:pPr>
        <w:spacing w:after="60" w:before="60"/>
      </w:pPr>
      <w:r>
        <w:rPr>
          <w:rFonts w:ascii="Arial" w:cs="Arial" w:eastAsia="Arial" w:hAnsi="Arial"/>
          <w:sz w:val="22"/>
          <w:szCs w:val="22"/>
        </w:rPr>
        <w:t xml:space="preserve">Post-draft audit triggers for major version action. Evaluated after each draft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Archetype hit rate (correct mechanism)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 over 2 cycles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Restructure archetype library for that position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TWEENER flag bust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30%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 TWEENER threshold from 3pt to 5pt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Override frequency (all positions)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20%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Systematic bias 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Override frequency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30%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version bump (v2.2 → v3.0)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 prospects busting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40%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COMPRESSION threshold; mechanism confirmation protocol stricter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 High vs. Consensus (like Helm, CPJ)</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Year 1–3 outcomes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Determines whether framework is finding value or mispricing OL/OLB</w:t>
            </w:r>
          </w:p>
        </w:tc>
      </w:tr>
    </w:tbl>
    <w:p>
      <w:pPr>
        <w:pStyle w:val="Heading1"/>
        <w:spacing w:after="160" w:before="320"/>
      </w:pPr>
      <w:r>
        <w:rPr>
          <w:rFonts w:ascii="Arial" w:cs="Arial" w:eastAsia="Arial" w:hAnsi="Arial"/>
          <w:b/>
          <w:bCs/>
          <w:color w:val="1F4E79"/>
          <w:sz w:val="28"/>
          <w:szCs w:val="28"/>
        </w:rPr>
        <w:t xml:space="preserve">10. BUILD SEQUENCE — 2026</w:t>
      </w:r>
    </w:p>
    <w:p>
      <w:pPr>
        <w:pBdr>
          <w:bottom w:val="single" w:color="2E75B6" w:sz="6"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 Finalization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 v2.2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Archetype Library (all 13 positions)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 v2.2 weights applied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Scoring Engine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 apex_v22_engine_final.py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Calibration (2025 + 2026 Batch 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 12 prospects validated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 Draft Live Board Deployment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 next 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Post-Draft Audit (April 2026)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40"/>
              <w:left w:type="dxa" w:w="200"/>
              <w:bottom w:type="dxa" w:w="140"/>
              <w:right w:type="dxa" w:w="200"/>
            </w:tcMar>
          </w:tcPr>
          <w:p>
            <w:pPr>
              <w:jc w:val="center"/>
            </w:pPr>
            <w:r>
              <w:rPr>
                <w:rFonts w:ascii="Arial" w:cs="Arial" w:eastAsia="Arial" w:hAnsi="Arial"/>
                <w:b/>
                <w:bCs/>
                <w:color w:val="FFFFFF"/>
                <w:sz w:val="24"/>
                <w:szCs w:val="24"/>
              </w:rPr>
              <w:t xml:space="preserve">THE STRATEGIC NORTH STAR</w:t>
            </w:r>
          </w:p>
          <w:p>
            <w:r>
              <w:rPr>
                <w:rFonts w:ascii="Arial" w:cs="Arial" w:eastAsia="Arial" w:hAnsi="Arial"/>
                <w:color w:val="FFFFFF"/>
                <w:sz w:val="20"/>
                <w:szCs w:val="20"/>
              </w:rPr>
              <w:t xml:space="preserve">When DraftOS consensus + Apex composite + Sports Almanac validation all point in the same direction, that is your highest-conviction call. When they disagree — especially when Apex sees something consensus doesn't — that is your edge. Build the infrastructure first. Then build the signal. Then let the divergence do the work.</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2026-03-08T08:40:31.413Z</dcterms:created>
  <dcterms:modified xsi:type="dcterms:W3CDTF">2026-03-08T08:40:31.414Z</dcterms:modified>
</cp:coreProperties>
</file>

<file path=docProps/custom.xml><?xml version="1.0" encoding="utf-8"?>
<Properties xmlns="http://schemas.openxmlformats.org/officeDocument/2006/custom-properties" xmlns:vt="http://schemas.openxmlformats.org/officeDocument/2006/docPropsVTypes"/>
</file>