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rojectTitle"/>
        <w:keepNext/>
      </w:pPr>
      <w:r>
        <w:t>NovaTech Electronics - Power BI Analytics Bootcamp Project</w:t>
      </w:r>
    </w:p>
    <w:p>
      <w:pPr>
        <w:pStyle w:val="ProjectSubtitle"/>
      </w:pPr>
      <w:r>
        <w:t>Retail sales, profitability, targets, and returns dashboard solution</w:t>
      </w:r>
    </w:p>
    <w:tbl>
      <w:tblPr>
        <w:tblStyle w:val="TableGrid"/>
        <w:tblW w:type="dxa" w:w="9360"/>
        <w:jc w:val="center"/>
        <w:tblLayout w:type="fixed"/>
        <w:tblLook w:firstColumn="1" w:firstRow="1" w:lastColumn="0" w:lastRow="0" w:noHBand="0" w:noVBand="1" w:val="04A0"/>
        <w:tblInd w:w="120" w:type="dxa"/>
      </w:tblPr>
      <w:tblGrid>
        <w:gridCol w:w="2232"/>
        <w:gridCol w:w="7128"/>
      </w:tblGrid>
      <w:tr>
        <w:tc>
          <w:tcPr>
            <w:tcW w:type="dxa" w:w="2232"/>
            <w:vAlign w:val="center"/>
            <w:tcMar>
              <w:top w:w="80" w:type="dxa"/>
              <w:start w:w="120" w:type="dxa"/>
              <w:bottom w:w="80" w:type="dxa"/>
              <w:end w:w="120" w:type="dxa"/>
            </w:tcMar>
            <w:shd w:fill="F2F4F7"/>
          </w:tcPr>
          <w:p>
            <w:pPr>
              <w:spacing w:after="0"/>
            </w:pPr>
            <w:r/>
            <w:r>
              <w:rPr>
                <w:rFonts w:ascii="Calibri" w:hAnsi="Calibri"/>
                <w:b/>
                <w:color w:val="141C26"/>
                <w:sz w:val="20"/>
              </w:rPr>
              <w:t>Tool</w:t>
            </w:r>
          </w:p>
        </w:tc>
        <w:tc>
          <w:tcPr>
            <w:tcW w:type="dxa" w:w="7128"/>
            <w:vAlign w:val="center"/>
            <w:tcMar>
              <w:top w:w="80" w:type="dxa"/>
              <w:start w:w="120" w:type="dxa"/>
              <w:bottom w:w="80" w:type="dxa"/>
              <w:end w:w="120" w:type="dxa"/>
            </w:tcMar>
          </w:tcPr>
          <w:p>
            <w:pPr>
              <w:spacing w:after="0"/>
            </w:pPr>
            <w:r/>
            <w:r>
              <w:rPr>
                <w:rFonts w:ascii="Calibri" w:hAnsi="Calibri"/>
                <w:b w:val="0"/>
                <w:color w:val="141C26"/>
                <w:sz w:val="20"/>
              </w:rPr>
              <w:t>Power BI</w:t>
            </w:r>
          </w:p>
        </w:tc>
      </w:tr>
      <w:tr>
        <w:tc>
          <w:tcPr>
            <w:tcW w:type="dxa" w:w="2232"/>
            <w:vAlign w:val="center"/>
            <w:tcMar>
              <w:top w:w="80" w:type="dxa"/>
              <w:start w:w="120" w:type="dxa"/>
              <w:bottom w:w="80" w:type="dxa"/>
              <w:end w:w="120" w:type="dxa"/>
            </w:tcMar>
            <w:shd w:fill="F2F4F7"/>
          </w:tcPr>
          <w:p>
            <w:pPr>
              <w:spacing w:after="0"/>
            </w:pPr>
            <w:r/>
            <w:r>
              <w:rPr>
                <w:rFonts w:ascii="Calibri" w:hAnsi="Calibri"/>
                <w:b/>
                <w:color w:val="141C26"/>
                <w:sz w:val="20"/>
              </w:rPr>
              <w:t>Analysis focus</w:t>
            </w:r>
          </w:p>
        </w:tc>
        <w:tc>
          <w:tcPr>
            <w:tcW w:type="dxa" w:w="7128"/>
            <w:vAlign w:val="center"/>
            <w:tcMar>
              <w:top w:w="80" w:type="dxa"/>
              <w:start w:w="120" w:type="dxa"/>
              <w:bottom w:w="80" w:type="dxa"/>
              <w:end w:w="120" w:type="dxa"/>
            </w:tcMar>
          </w:tcPr>
          <w:p>
            <w:pPr>
              <w:spacing w:after="0"/>
            </w:pPr>
            <w:r/>
            <w:r>
              <w:rPr>
                <w:rFonts w:ascii="Calibri" w:hAnsi="Calibri"/>
                <w:b w:val="0"/>
                <w:color w:val="141C26"/>
                <w:sz w:val="20"/>
              </w:rPr>
              <w:t>Sales cleaning, star schema modeling, DAX measures, targets, returns, and dashboard pages</w:t>
            </w:r>
          </w:p>
        </w:tc>
      </w:tr>
      <w:tr>
        <w:tc>
          <w:tcPr>
            <w:tcW w:type="dxa" w:w="2232"/>
            <w:vAlign w:val="center"/>
            <w:tcMar>
              <w:top w:w="80" w:type="dxa"/>
              <w:start w:w="120" w:type="dxa"/>
              <w:bottom w:w="80" w:type="dxa"/>
              <w:end w:w="120" w:type="dxa"/>
            </w:tcMar>
            <w:shd w:fill="F2F4F7"/>
          </w:tcPr>
          <w:p>
            <w:pPr>
              <w:spacing w:after="0"/>
            </w:pPr>
            <w:r/>
            <w:r>
              <w:rPr>
                <w:rFonts w:ascii="Calibri" w:hAnsi="Calibri"/>
                <w:b/>
                <w:color w:val="141C26"/>
                <w:sz w:val="20"/>
              </w:rPr>
              <w:t>Methods used</w:t>
            </w:r>
          </w:p>
        </w:tc>
        <w:tc>
          <w:tcPr>
            <w:tcW w:type="dxa" w:w="7128"/>
            <w:vAlign w:val="center"/>
            <w:tcMar>
              <w:top w:w="80" w:type="dxa"/>
              <w:start w:w="120" w:type="dxa"/>
              <w:bottom w:w="80" w:type="dxa"/>
              <w:end w:w="120" w:type="dxa"/>
            </w:tcMar>
          </w:tcPr>
          <w:p>
            <w:pPr>
              <w:spacing w:after="0"/>
            </w:pPr>
            <w:r/>
            <w:r>
              <w:rPr>
                <w:rFonts w:ascii="Calibri" w:hAnsi="Calibri"/>
                <w:b w:val="0"/>
                <w:color w:val="141C26"/>
                <w:sz w:val="20"/>
              </w:rPr>
              <w:t>Power Query, star schema, DAX, time intelligence, KPI dashboards</w:t>
            </w:r>
          </w:p>
        </w:tc>
      </w:tr>
      <w:tr>
        <w:tc>
          <w:tcPr>
            <w:tcW w:type="dxa" w:w="2232"/>
            <w:vAlign w:val="center"/>
            <w:tcMar>
              <w:top w:w="80" w:type="dxa"/>
              <w:start w:w="120" w:type="dxa"/>
              <w:bottom w:w="80" w:type="dxa"/>
              <w:end w:w="120" w:type="dxa"/>
            </w:tcMar>
            <w:shd w:fill="F2F4F7"/>
          </w:tcPr>
          <w:p>
            <w:pPr>
              <w:spacing w:after="0"/>
            </w:pPr>
            <w:r/>
            <w:r>
              <w:rPr>
                <w:rFonts w:ascii="Calibri" w:hAnsi="Calibri"/>
                <w:b/>
                <w:color w:val="141C26"/>
                <w:sz w:val="20"/>
              </w:rPr>
              <w:t>Evidence included</w:t>
            </w:r>
          </w:p>
        </w:tc>
        <w:tc>
          <w:tcPr>
            <w:tcW w:type="dxa" w:w="7128"/>
            <w:vAlign w:val="center"/>
            <w:tcMar>
              <w:top w:w="80" w:type="dxa"/>
              <w:start w:w="120" w:type="dxa"/>
              <w:bottom w:w="80" w:type="dxa"/>
              <w:end w:w="120" w:type="dxa"/>
            </w:tcMar>
          </w:tcPr>
          <w:p>
            <w:pPr>
              <w:spacing w:after="0"/>
            </w:pPr>
            <w:r/>
            <w:r>
              <w:rPr>
                <w:rFonts w:ascii="Calibri" w:hAnsi="Calibri"/>
                <w:b w:val="0"/>
                <w:color w:val="141C26"/>
                <w:sz w:val="20"/>
              </w:rPr>
              <w:t>5 dashboard screenshots plus DAX/model documentation</w:t>
            </w:r>
          </w:p>
        </w:tc>
      </w:tr>
    </w:tbl>
    <w:p/>
    <w:p>
      <w:pPr>
        <w:pStyle w:val="Heading1"/>
      </w:pPr>
      <w:r>
        <w:t>Phase 1- Data Loading</w:t>
      </w:r>
    </w:p>
    <w:p>
      <w:pPr>
        <w:pStyle w:val="ListBullet"/>
      </w:pPr>
      <w:r>
        <w:t>Data was shared in 7 files which contained 8 tables. Files were shared in CSV and Excel sheets.</w:t>
      </w:r>
    </w:p>
    <w:p>
      <w:pPr>
        <w:pStyle w:val="ListBullet"/>
      </w:pPr>
      <w:r>
        <w:t>Files were loaded and transformed into power query editor.</w:t>
      </w:r>
    </w:p>
    <w:p>
      <w:pPr>
        <w:pStyle w:val="Heading1"/>
      </w:pPr>
      <w:r>
        <w:t>Phase 2 - Power Query:</w:t>
      </w:r>
    </w:p>
    <w:p>
      <w:pPr>
        <w:pStyle w:val="Heading2"/>
      </w:pPr>
      <w:r>
        <w:t>Data Cleaning &amp; Transformation</w:t>
      </w:r>
    </w:p>
    <w:p>
      <w:pPr/>
      <w:r>
        <w:t>Data was cleaned in power query editor, steps followed to clean this data. Changing data type, adding column by example to fix date format, splitting column by delimiter to separate customer phone number and email id, fixing category typo, removed duplicate transactions, used append queries to combine two separate sales table into one, merged product pricing and product listings into one product table, replaced values.</w:t>
      </w:r>
    </w:p>
    <w:p>
      <w:pPr>
        <w:pStyle w:val="Heading1"/>
      </w:pPr>
      <w:r>
        <w:t>PHASE 3 — Building the Data Model</w:t>
      </w:r>
    </w:p>
    <w:p>
      <w:pPr/>
      <w:r>
        <w:t>1.Created a date table - Time-intelligence (YTD, last month, moving average) needs one continuous calendar with every day of 2023. Tells Power BI “this is the calendar.”</w:t>
      </w:r>
    </w:p>
    <w:p>
      <w:pPr/>
      <w:r>
        <w:t>2. Verified that dimension side of every relationship  has a unique key. Products Product_Code (42), Customers Customer_ID (150), Stores Store_ID (10), Returns Return_ID (100), Combined_Sales Transaction_ID  (1,363 unique).</w:t>
      </w:r>
    </w:p>
    <w:p>
      <w:pPr/>
      <w:r>
        <w:t>3. Relationship- Using start schema, connected the fact and dimension table using bridge table</w:t>
      </w:r>
    </w:p>
    <w:p>
      <w:pPr>
        <w:pStyle w:val="Heading1"/>
      </w:pPr>
      <w:r>
        <w:t>PHASE 4 — DAX Measures</w:t>
      </w:r>
    </w:p>
    <w:p>
      <w:pPr/>
      <w:r>
        <w:t>Created a measure table.</w:t>
      </w:r>
    </w:p>
    <w:p>
      <w:pPr>
        <w:pStyle w:val="Heading2"/>
      </w:pPr>
      <w:r>
        <w:t>1. CORE REVENUE MEASURES</w:t>
      </w:r>
    </w:p>
    <w:p>
      <w:pPr>
        <w:pStyle w:val="CodeBlock"/>
        <w:shd w:fill="F6F8FA"/>
        <w:ind w:left="259" w:right="259"/>
      </w:pPr>
      <w:r>
        <w:t>1.Total Revenue = SUMX(Combined_Sales, Combined_Sales[Quantity] * Combined_Sales[Selling_Price])</w:t>
      </w:r>
    </w:p>
    <w:p>
      <w:pPr>
        <w:pStyle w:val="CodeBlock"/>
        <w:shd w:fill="F6F8FA"/>
        <w:ind w:left="259" w:right="259"/>
      </w:pPr>
      <w:r>
        <w:t>2. Total Cost = SUMX(Combined_Sales, Combined_Sales[Quantity] * RELATED(Products[Cost_Price]))</w:t>
      </w:r>
    </w:p>
    <w:p>
      <w:pPr>
        <w:pStyle w:val="CodeBlock"/>
        <w:shd w:fill="F6F8FA"/>
        <w:ind w:left="259" w:right="259"/>
      </w:pPr>
      <w:r>
        <w:t>3.Gross Profit = [Total Revenue] - [Total Cost]</w:t>
      </w:r>
    </w:p>
    <w:p>
      <w:pPr/>
      <w:r>
        <w:t>4.Gross Margin % = DIVIDE([Gross Profit], [Total Revenue])</w:t>
      </w:r>
    </w:p>
    <w:p>
      <w:pPr>
        <w:pStyle w:val="CodeBlock"/>
        <w:shd w:fill="F6F8FA"/>
        <w:ind w:left="259" w:right="259"/>
      </w:pPr>
      <w:r>
        <w:t>5. Total Transactions = COUNTROWS(Combined_Sales)</w:t>
      </w:r>
    </w:p>
    <w:p>
      <w:pPr>
        <w:pStyle w:val="CodeBlock"/>
        <w:shd w:fill="F6F8FA"/>
        <w:ind w:left="259" w:right="259"/>
      </w:pPr>
      <w:r>
        <w:t>6. Total Units Sold = SUM(Combined_Sales[Quantity])</w:t>
      </w:r>
    </w:p>
    <w:p>
      <w:pPr>
        <w:pStyle w:val="CodeBlock"/>
        <w:shd w:fill="F6F8FA"/>
        <w:ind w:left="259" w:right="259"/>
      </w:pPr>
      <w:r>
        <w:t>7.Avg Transaction Value = DIVIDE([Total Revenue], [Total Transactions])</w:t>
      </w:r>
    </w:p>
    <w:p>
      <w:pPr>
        <w:pStyle w:val="CodeBlock"/>
        <w:shd w:fill="F6F8FA"/>
        <w:ind w:left="259" w:right="259"/>
      </w:pPr>
      <w:r>
        <w:t>8.Total Target = SUM(Targets[Target_Amount])</w:t>
      </w:r>
    </w:p>
    <w:p>
      <w:pPr>
        <w:pStyle w:val="Heading2"/>
      </w:pPr>
      <w:r>
        <w:t>CALCULATE</w:t>
      </w:r>
    </w:p>
    <w:p>
      <w:pPr>
        <w:pStyle w:val="CodeBlock"/>
        <w:shd w:fill="F6F8FA"/>
        <w:ind w:left="259" w:right="259"/>
      </w:pPr>
      <w:r>
        <w:t>Online Revenue = CALCULATE([Total Revenue], Combined_Sales[Channel] = "Online")</w:t>
      </w:r>
    </w:p>
    <w:p>
      <w:pPr>
        <w:pStyle w:val="CodeBlock"/>
        <w:shd w:fill="F6F8FA"/>
        <w:ind w:left="259" w:right="259"/>
      </w:pPr>
      <w:r>
        <w:t>2. In-Store Revenue = CALCULATE([Total Revenue], Combined_Sales[Channel] = "InStore")</w:t>
      </w:r>
    </w:p>
    <w:p>
      <w:pPr>
        <w:pStyle w:val="CodeBlock"/>
        <w:shd w:fill="F6F8FA"/>
        <w:ind w:left="259" w:right="259"/>
      </w:pPr>
      <w:r>
        <w:t>South Region Revenue = CALCULATE([Total Revenue], Stores[Region] = "South")</w:t>
      </w:r>
    </w:p>
    <w:p>
      <w:pPr>
        <w:pStyle w:val="CodeBlock"/>
        <w:shd w:fill="F6F8FA"/>
        <w:ind w:left="259" w:right="259"/>
      </w:pPr>
      <w:r>
        <w:t>Premium Customer Revenue = CALCULATE([Total Revenue], Customers[Customer_Segment] = "Premium")</w:t>
      </w:r>
    </w:p>
    <w:p>
      <w:pPr>
        <w:pStyle w:val="CodeBlock"/>
        <w:shd w:fill="F6F8FA"/>
        <w:ind w:left="259" w:right="259"/>
      </w:pPr>
      <w:r>
        <w:t>Laptops Revenue = CALCULATE([Total Revenue], Combined_Sales[Category] = "Laptops")</w:t>
      </w:r>
    </w:p>
    <w:p>
      <w:pPr>
        <w:pStyle w:val="CodeBlock"/>
        <w:shd w:fill="F6F8FA"/>
        <w:ind w:left="259" w:right="259"/>
      </w:pPr>
      <w:r>
        <w:t>Revenue Excl Accessories = CALCULATE([Total Revenue], Combined_Sales[Category] &lt;&gt; "Accessories")</w:t>
      </w:r>
    </w:p>
    <w:p>
      <w:pPr>
        <w:pStyle w:val="CodeBlock"/>
        <w:shd w:fill="F6F8FA"/>
        <w:ind w:left="259" w:right="259"/>
      </w:pPr>
      <w:r>
        <w:t>Q4 Revenue = CALCULATE([Total Revenue], 'Date'[Quarter] = "Q4")</w:t>
      </w:r>
    </w:p>
    <w:p>
      <w:pPr>
        <w:pStyle w:val="CodeBlock"/>
        <w:shd w:fill="F6F8FA"/>
        <w:ind w:left="259" w:right="259"/>
      </w:pPr>
      <w:r>
        <w:t>All Category Revenue = CALCULATE([Total Revenue], ALL(Combined_Sales[Category]))</w:t>
      </w:r>
    </w:p>
    <w:p>
      <w:pPr>
        <w:pStyle w:val="Heading2"/>
      </w:pPr>
      <w:r>
        <w:t>TIME INTELLIGENCE</w:t>
      </w:r>
    </w:p>
    <w:p>
      <w:pPr>
        <w:pStyle w:val="CodeBlock"/>
        <w:shd w:fill="F6F8FA"/>
        <w:ind w:left="259" w:right="259"/>
      </w:pPr>
      <w:r>
        <w:t>1.Revenue LY = CALCULATE([Total Revenue], SAMEPERIODLASTYEAR('Date'[Date])) -- BLANK (no 2022 data) — expected</w:t>
      </w:r>
    </w:p>
    <w:p>
      <w:pPr>
        <w:pStyle w:val="CodeBlock"/>
        <w:shd w:fill="F6F8FA"/>
        <w:ind w:left="259" w:right="259"/>
      </w:pPr>
      <w:r>
        <w:t>2.Revenue MTD = TOTALMTD([Total Revenue], 'Date'[Date])</w:t>
      </w:r>
    </w:p>
    <w:p>
      <w:pPr>
        <w:pStyle w:val="CodeBlock"/>
        <w:shd w:fill="F6F8FA"/>
        <w:ind w:left="259" w:right="259"/>
      </w:pPr>
      <w:r>
        <w:t>3.Revenue QTD = TOTALQTD([Total Revenue], 'Date'[Date])</w:t>
      </w:r>
    </w:p>
    <w:p>
      <w:pPr>
        <w:pStyle w:val="CodeBlock"/>
        <w:shd w:fill="F6F8FA"/>
        <w:ind w:left="259" w:right="259"/>
      </w:pPr>
      <w:r>
        <w:t>4.Revenue YTD = TOTALYTD([Total Revenue], 'Date'[Date])</w:t>
      </w:r>
    </w:p>
    <w:p>
      <w:pPr>
        <w:pStyle w:val="CodeBlock"/>
        <w:shd w:fill="F6F8FA"/>
        <w:ind w:left="259" w:right="259"/>
      </w:pPr>
      <w:r>
        <w:t>5.YoY Growth Amount = IF(ISBLANK([Revenue LY]), BLANK(), [Total Revenue] - [Revenue LY]) -- blank-safe: without the IF, a blank LY makes this just equal Total Revenue</w:t>
      </w:r>
    </w:p>
    <w:p>
      <w:pPr>
        <w:pStyle w:val="ListBullet"/>
      </w:pPr>
      <w:r>
        <w:t>6.YoY Growth % = DIVIDE([YoY Growth Amount], [Revenue LY])</w:t>
      </w:r>
    </w:p>
    <w:p>
      <w:pPr>
        <w:pStyle w:val="CodeBlock"/>
        <w:shd w:fill="F6F8FA"/>
        <w:ind w:left="259" w:right="259"/>
      </w:pPr>
      <w:r>
        <w:t>7.3-Month Moving Avg Revenue = CALCULATE(DIVIDE([Total Revenue], 3), DATESINPERIOD('Date'[Date], LASTDATE('Date'[Date]), -3, MONTH))</w:t>
      </w:r>
    </w:p>
    <w:p>
      <w:pPr>
        <w:pStyle w:val="CodeBlock"/>
        <w:shd w:fill="F6F8FA"/>
        <w:ind w:left="259" w:right="259"/>
      </w:pPr>
      <w:r>
        <w:t>8.Cumulative Revenue = CALCULATE([Total Revenue], DATESYTD('Date'[Date]))</w:t>
      </w:r>
    </w:p>
    <w:p>
      <w:pPr>
        <w:pStyle w:val="Heading2"/>
      </w:pPr>
      <w:r>
        <w:t>4.ITERATORS</w:t>
      </w:r>
    </w:p>
    <w:p>
      <w:pPr>
        <w:pStyle w:val="CodeBlock"/>
        <w:shd w:fill="F6F8FA"/>
        <w:ind w:left="259" w:right="259"/>
      </w:pPr>
      <w:r>
        <w:t>Avg Revenue Per Transaction = AVERAGEX(Combined_Sales, Combined_Sales[Quantity] * Combined_Sales[Selling_Price])</w:t>
      </w:r>
    </w:p>
    <w:p>
      <w:pPr>
        <w:pStyle w:val="CodeBlock"/>
        <w:shd w:fill="F6F8FA"/>
        <w:ind w:left="259" w:right="259"/>
      </w:pPr>
      <w:r>
        <w:t>Max Single Transaction = MAXX(Combined_Sales, Combined_Sales[Quantity] * Combined_Sales[Selling_Price])</w:t>
      </w:r>
    </w:p>
    <w:p>
      <w:pPr>
        <w:pStyle w:val="CodeBlock"/>
        <w:shd w:fill="F6F8FA"/>
        <w:ind w:left="259" w:right="259"/>
      </w:pPr>
      <w:r>
        <w:t>Min Transaction Value = MINX(FILTER(Combined_Sales, Combined_Sales[Quantity] &gt; 0), Combined_Sales[Quantity] * Combined_Sales[Selling_Price])</w:t>
      </w:r>
    </w:p>
    <w:p>
      <w:pPr>
        <w:pStyle w:val="CodeBlock"/>
        <w:shd w:fill="F6F8FA"/>
        <w:ind w:left="259" w:right="259"/>
      </w:pPr>
      <w:r>
        <w:t>Avg Units per Transaction = AVERAGEX(Combined_Sales, Combined_Sales[Quantity])</w:t>
      </w:r>
    </w:p>
    <w:p>
      <w:pPr>
        <w:pStyle w:val="CodeBlock"/>
        <w:shd w:fill="F6F8FA"/>
        <w:ind w:left="259" w:right="259"/>
      </w:pPr>
      <w:r>
        <w:t>Revenue per Customer = AVERAGEX( SUMMARIZE(Combined_Sales, Combined_Sales[Customer_ID], "Cust_Rev", [Total Revenue]), [Cust_Rev])</w:t>
      </w:r>
    </w:p>
    <w:p>
      <w:pPr>
        <w:pStyle w:val="Heading2"/>
      </w:pPr>
      <w:r>
        <w:t>5.RANKING</w:t>
      </w:r>
    </w:p>
    <w:p>
      <w:pPr>
        <w:pStyle w:val="CodeBlock"/>
        <w:shd w:fill="F6F8FA"/>
        <w:ind w:left="259" w:right="259"/>
      </w:pPr>
      <w:r>
        <w:t>1.Product Rank = RANKX(ALL(Products[Product_Name]), [Total Revenue], , DESC, DENSE)</w:t>
      </w:r>
    </w:p>
    <w:p>
      <w:pPr>
        <w:pStyle w:val="CodeBlock"/>
        <w:shd w:fill="F6F8FA"/>
        <w:ind w:left="259" w:right="259"/>
      </w:pPr>
      <w:r>
        <w:t>2.Store Rank = RANKX(ALL(Stores[Store_Name]), [Total Revenue], , DESC, DENSE)</w:t>
      </w:r>
    </w:p>
    <w:p>
      <w:pPr>
        <w:pStyle w:val="CodeBlock"/>
        <w:shd w:fill="F6F8FA"/>
        <w:ind w:left="259" w:right="259"/>
      </w:pPr>
      <w:r>
        <w:t>3.Is Top 5 Product = IF([Product Rank] &lt;= 5, "⭐ Top 5", BLANK())</w:t>
      </w:r>
    </w:p>
    <w:p>
      <w:pPr>
        <w:pStyle w:val="CodeBlock"/>
        <w:shd w:fill="F6F8FA"/>
        <w:ind w:left="259" w:right="259"/>
      </w:pPr>
      <w:r>
        <w:t>4.Category Revenue Share % = DIVIDE([Total Revenue], CALCULATE([Total Revenue], ALL(Combined_Sales[Category])))</w:t>
      </w:r>
    </w:p>
    <w:p>
      <w:pPr>
        <w:pStyle w:val="Heading2"/>
      </w:pPr>
      <w:r>
        <w:t>KPI &amp; RETURNS</w:t>
      </w:r>
    </w:p>
    <w:p>
      <w:pPr>
        <w:pStyle w:val="CodeBlock"/>
        <w:shd w:fill="F6F8FA"/>
        <w:ind w:left="259" w:right="259"/>
      </w:pPr>
      <w:r>
        <w:t>1.Total Refunds = SUM(Returns[Refund_Amount])</w:t>
      </w:r>
    </w:p>
    <w:p>
      <w:pPr>
        <w:pStyle w:val="CodeBlock"/>
        <w:shd w:fill="F6F8FA"/>
        <w:ind w:left="259" w:right="259"/>
      </w:pPr>
      <w:r>
        <w:t>2.Net Revenue = [Total Revenue] - [Total Refunds]</w:t>
      </w:r>
    </w:p>
    <w:p>
      <w:pPr>
        <w:pStyle w:val="CodeBlock"/>
        <w:shd w:fill="F6F8FA"/>
        <w:ind w:left="259" w:right="259"/>
      </w:pPr>
      <w:r>
        <w:t>3. Total Returns Count = COUNTROWS(Returns)</w:t>
      </w:r>
    </w:p>
    <w:p>
      <w:pPr/>
      <w:r>
        <w:t>4.Return Rate % = DIVIDE([Total Returns Count], [Total Transactions])</w:t>
      </w:r>
    </w:p>
    <w:p>
      <w:pPr/>
      <w:r>
        <w:t>5.Target Achievement % = DIVIDE([Total Revenue], [Total Target])</w:t>
      </w:r>
    </w:p>
    <w:p>
      <w:pPr>
        <w:pStyle w:val="CodeBlock"/>
        <w:shd w:fill="F6F8FA"/>
        <w:ind w:left="259" w:right="259"/>
      </w:pPr>
      <w:r>
        <w:t>6.Revenue vs Target Gap = [Total Revenue] - [Total Target]</w:t>
      </w:r>
    </w:p>
    <w:p>
      <w:pPr>
        <w:pStyle w:val="CodeBlock"/>
        <w:shd w:fill="F6F8FA"/>
        <w:ind w:left="259" w:right="259"/>
      </w:pPr>
      <w:r>
        <w:t>7.Processed Refunds = CALCULATE([Total Refunds], Returns[Return_Status] = "Processed")</w:t>
      </w:r>
    </w:p>
    <w:p>
      <w:pPr>
        <w:pStyle w:val="CodeBlock"/>
        <w:shd w:fill="F6F8FA"/>
        <w:ind w:left="259" w:right="259"/>
      </w:pPr>
      <w:r>
        <w:t>8.Pending Refunds = CALCULATE([Total Refunds], Returns[Return_Status] = "Pending")</w:t>
      </w:r>
    </w:p>
    <w:p>
      <w:pPr>
        <w:pStyle w:val="CodeBlock"/>
        <w:shd w:fill="F6F8FA"/>
        <w:ind w:left="259" w:right="259"/>
      </w:pPr>
      <w:r>
        <w:t>9.Returns by Return Date = CALCULATE( [Total Returns Count], USERELATIONSHIP(Returns[Return_Date], 'Date'[Date]), CROSSFILTER(Returns[Original_Txn_ID], Combined_Sales[Transaction_ID], None)</w:t>
      </w:r>
    </w:p>
    <w:p>
      <w:pPr>
        <w:pStyle w:val="Heading1"/>
      </w:pPr>
      <w:r>
        <w:t>Phase 5 -Dashboard</w:t>
      </w:r>
    </w:p>
    <w:p>
      <w:pPr>
        <w:pStyle w:val="Heading2"/>
      </w:pPr>
      <w:r>
        <w:t>Page 1: Executive Summary</w:t>
      </w:r>
    </w:p>
    <w:p>
      <w:pPr>
        <w:spacing w:after="80"/>
        <w:jc w:val="center"/>
      </w:pPr>
      <w:r>
        <w:drawing>
          <wp:inline xmlns:a="http://schemas.openxmlformats.org/drawingml/2006/main" xmlns:pic="http://schemas.openxmlformats.org/drawingml/2006/picture">
            <wp:extent cx="5669280" cy="3082290"/>
            <wp:docPr id="1" name="Picture 1"/>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5669280" cy="3082290"/>
                    </a:xfrm>
                    <a:prstGeom prst="rect"/>
                  </pic:spPr>
                </pic:pic>
              </a:graphicData>
            </a:graphic>
          </wp:inline>
        </w:drawing>
      </w:r>
    </w:p>
    <w:p>
      <w:pPr>
        <w:pStyle w:val="Heading2"/>
      </w:pPr>
      <w:r>
        <w:t>Page 2: Store &amp; Regional Performance</w:t>
      </w:r>
    </w:p>
    <w:p>
      <w:pPr>
        <w:spacing w:after="80"/>
        <w:jc w:val="center"/>
      </w:pPr>
      <w:r>
        <w:drawing>
          <wp:inline xmlns:a="http://schemas.openxmlformats.org/drawingml/2006/main" xmlns:pic="http://schemas.openxmlformats.org/drawingml/2006/picture">
            <wp:extent cx="5669280" cy="3163608"/>
            <wp:docPr id="2" name="Picture 2"/>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669280" cy="3163608"/>
                    </a:xfrm>
                    <a:prstGeom prst="rect"/>
                  </pic:spPr>
                </pic:pic>
              </a:graphicData>
            </a:graphic>
          </wp:inline>
        </w:drawing>
      </w:r>
    </w:p>
    <w:p>
      <w:pPr>
        <w:pStyle w:val="Heading2"/>
      </w:pPr>
      <w:r>
        <w:t>Page 3: Product &amp; Customer Analytics</w:t>
      </w:r>
    </w:p>
    <w:p>
      <w:pPr>
        <w:spacing w:after="80"/>
        <w:jc w:val="center"/>
      </w:pPr>
      <w:r>
        <w:drawing>
          <wp:inline xmlns:a="http://schemas.openxmlformats.org/drawingml/2006/main" xmlns:pic="http://schemas.openxmlformats.org/drawingml/2006/picture">
            <wp:extent cx="5669280" cy="3171084"/>
            <wp:docPr id="3" name="Picture 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669280" cy="3171084"/>
                    </a:xfrm>
                    <a:prstGeom prst="rect"/>
                  </pic:spPr>
                </pic:pic>
              </a:graphicData>
            </a:graphic>
          </wp:inline>
        </w:drawing>
      </w:r>
    </w:p>
    <w:p>
      <w:pPr>
        <w:pStyle w:val="Heading2"/>
      </w:pPr>
      <w:r>
        <w:t>Page 4: Time Intelligence Deep Dive</w:t>
      </w:r>
    </w:p>
    <w:p>
      <w:pPr>
        <w:spacing w:after="80"/>
        <w:jc w:val="center"/>
      </w:pPr>
      <w:r>
        <w:drawing>
          <wp:inline xmlns:a="http://schemas.openxmlformats.org/drawingml/2006/main" xmlns:pic="http://schemas.openxmlformats.org/drawingml/2006/picture">
            <wp:extent cx="5669280" cy="3106083"/>
            <wp:docPr id="4" name="Picture 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5669280" cy="3106083"/>
                    </a:xfrm>
                    <a:prstGeom prst="rect"/>
                  </pic:spPr>
                </pic:pic>
              </a:graphicData>
            </a:graphic>
          </wp:inline>
        </w:drawing>
      </w:r>
    </w:p>
    <w:p>
      <w:pPr>
        <w:pStyle w:val="Heading2"/>
      </w:pPr>
      <w:r>
        <w:t>Page 5: Returns Tracker</w:t>
      </w:r>
    </w:p>
    <w:p>
      <w:pPr>
        <w:spacing w:after="80"/>
        <w:jc w:val="center"/>
      </w:pPr>
      <w:r>
        <w:drawing>
          <wp:inline xmlns:a="http://schemas.openxmlformats.org/drawingml/2006/main" xmlns:pic="http://schemas.openxmlformats.org/drawingml/2006/picture">
            <wp:extent cx="5669280" cy="3146096"/>
            <wp:docPr id="5" name="Picture 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669280" cy="3146096"/>
                    </a:xfrm>
                    <a:prstGeom prst="rect"/>
                  </pic:spPr>
                </pic:pic>
              </a:graphicData>
            </a:graphic>
          </wp:inline>
        </w:drawing>
      </w:r>
    </w:p>
    <w:p>
      <w:pPr>
        <w:pStyle w:val="Heading1"/>
      </w:pPr>
      <w:r>
        <w:t>Business Questions to Answer</w:t>
      </w:r>
    </w:p>
    <w:p>
      <w:pPr>
        <w:pStyle w:val="ListBullet"/>
      </w:pPr>
      <w:r>
        <w:t>Highest gross profit %? Same as highest revenue? No. Highest margin = West at 28.57% (East 28.42%, North 27.91%, South 27.20%). Highest revenue = North (₹3.80 Cr)</w:t>
      </w:r>
    </w:p>
    <w:p>
      <w:pPr>
        <w:pStyle w:val="ListBullet"/>
      </w:pPr>
      <w:r>
        <w:t>Overall Target Achievement 2023? Which region furthest behind? 18.37% overall. East is furthest behind at 9.1% -Page-2 waterfall.</w:t>
      </w:r>
    </w:p>
    <w:p>
      <w:pPr>
        <w:pStyle w:val="ListBullet"/>
      </w:pPr>
      <w:r>
        <w:t>Highest return-rate category?  Monitors (9.0%), Accessories close behind and highest by volume - Page-5 matrix</w:t>
      </w:r>
    </w:p>
    <w:p>
      <w:pPr>
        <w:pStyle w:val="ListBullet"/>
      </w:pPr>
      <w:r>
        <w:t>Store size vs revenue?  weak with all stores, clearly positive once you hide the 2 zero-area stores - Page-2 scatter.</w:t>
      </w:r>
    </w:p>
    <w:p>
      <w:pPr>
        <w:pStyle w:val="ListBullet"/>
      </w:pPr>
      <w:r>
        <w:t>Best month?  August, which is also closest to target - Page-1/4 line</w:t>
      </w:r>
    </w:p>
    <w:p>
      <w:pPr>
        <w:pStyle w:val="ListBullet"/>
      </w:pPr>
      <w:r>
        <w:t>Online vs In-Store?  In-Store 63.5%, Online 21.6%, Phone 14.9%</w:t>
      </w:r>
    </w:p>
    <w:p>
      <w:pPr>
        <w:pStyle w:val="ListBullet"/>
      </w:pPr>
      <w:r>
        <w:t>Top 3 customers?  Divya Tiwari, Ritu Chatterjee, Smita Chatterjee — all Regular - Page-3 table</w:t>
      </w:r>
    </w:p>
    <w:p>
      <w:pPr>
        <w:pStyle w:val="ListBullet"/>
      </w:pPr>
      <w:r>
        <w:t>Top Accessories sub-category?  Smartwatch- Page 3 Treemap.</w:t>
      </w:r>
    </w:p>
    <w:p>
      <w:pPr>
        <w:pStyle w:val="ListBullet"/>
      </w:pPr>
      <w:r>
        <w:t>Store to close?  Pune City -  Page-2 bar/scatter → ST005</w:t>
      </w:r>
    </w:p>
    <w:p>
      <w:pPr>
        <w:pStyle w:val="ListBullet"/>
      </w:pPr>
      <w:r>
        <w:t>Q4 vs Q1 moving average?  Q4 ≈ ₹1.08 Cr/mo vs Q1 ≈ ₹0.85 Cr/mo (~26% higher) - Page-4 line+column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B6770"/>
        <w:sz w:val="18"/>
      </w:rPr>
      <w:t xml:space="preserve">Page </w:t>
    </w:r>
    <w:r>
      <w:rPr>
        <w:rFonts w:ascii="Calibri" w:hAnsi="Calibri"/>
        <w:color w:val="5B6770"/>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770"/>
        <w:sz w:val="18"/>
      </w:rPr>
      <w:t>NovaTech Electronics - Power BI Analytics Bootcamp Project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Calibri" w:hAnsi="Calibri"/>
      <w:color w:val="141C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64"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line="264"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line="264"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160" w:line="280" w:lineRule="auto"/>
      <w:ind w:left="720" w:hanging="360"/>
      <w:contextualSpacing/>
    </w:pPr>
    <w:rPr>
      <w:rFonts w:ascii="Calibri" w:hAnsi="Calibri"/>
      <w:sz w:val="22"/>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60" w:line="280" w:lineRule="auto"/>
      <w:ind w:left="720" w:hanging="360"/>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60" w:line="280" w:lineRule="auto"/>
      <w:ind w:left="720" w:hanging="360"/>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64" w:lineRule="auto" w:before="0" w:after="200"/>
    </w:pPr>
    <w:rPr>
      <w:rFonts w:ascii="Calibri" w:hAnsi="Calibri"/>
      <w:b w:val="0"/>
      <w:bCs/>
      <w:i/>
      <w:color w:val="5B67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missionTitle">
    <w:name w:val="Submission Title"/>
    <w:pPr>
      <w:spacing w:before="0" w:after="80" w:line="264" w:lineRule="auto"/>
    </w:pPr>
    <w:rPr>
      <w:rFonts w:ascii="Calibri" w:hAnsi="Calibri"/>
      <w:b/>
      <w:i w:val="0"/>
      <w:color w:val="141C26"/>
      <w:sz w:val="48"/>
    </w:rPr>
  </w:style>
  <w:style w:type="paragraph" w:customStyle="1" w:styleId="SubmissionSubtitle">
    <w:name w:val="Submission Subtitle"/>
    <w:pPr>
      <w:spacing w:before="0" w:after="280" w:line="264" w:lineRule="auto"/>
    </w:pPr>
    <w:rPr>
      <w:rFonts w:ascii="Calibri" w:hAnsi="Calibri"/>
      <w:b w:val="0"/>
      <w:i w:val="0"/>
      <w:color w:val="5B6770"/>
      <w:sz w:val="26"/>
    </w:rPr>
  </w:style>
  <w:style w:type="paragraph" w:customStyle="1" w:styleId="ProjectTitle">
    <w:name w:val="Project Title"/>
    <w:pPr>
      <w:spacing w:before="0" w:after="80" w:line="264" w:lineRule="auto"/>
    </w:pPr>
    <w:rPr>
      <w:rFonts w:ascii="Calibri" w:hAnsi="Calibri"/>
      <w:b/>
      <w:i w:val="0"/>
      <w:color w:val="141C26"/>
      <w:sz w:val="40"/>
    </w:rPr>
  </w:style>
  <w:style w:type="paragraph" w:customStyle="1" w:styleId="ProjectSubtitle">
    <w:name w:val="Project Subtitle"/>
    <w:pPr>
      <w:spacing w:before="0" w:after="240" w:line="264" w:lineRule="auto"/>
    </w:pPr>
    <w:rPr>
      <w:rFonts w:ascii="Calibri" w:hAnsi="Calibri"/>
      <w:b w:val="0"/>
      <w:i w:val="0"/>
      <w:color w:val="5B6770"/>
      <w:sz w:val="24"/>
    </w:rPr>
  </w:style>
  <w:style w:type="paragraph" w:customStyle="1" w:styleId="CodeBlock">
    <w:name w:val="Code Block"/>
    <w:pPr>
      <w:spacing w:before="40" w:after="120" w:line="264" w:lineRule="auto"/>
    </w:pPr>
    <w:rPr>
      <w:rFonts w:ascii="Consolas" w:hAnsi="Consolas"/>
      <w:b w:val="0"/>
      <w:i w:val="0"/>
      <w:color w:val="141C26"/>
      <w:sz w:val="19"/>
    </w:rPr>
  </w:style>
  <w:style w:type="paragraph" w:customStyle="1" w:styleId="SmallMeta">
    <w:name w:val="Small Meta"/>
    <w:pPr>
      <w:spacing w:before="0" w:after="80" w:line="264" w:lineRule="auto"/>
    </w:pPr>
    <w:rPr>
      <w:rFonts w:ascii="Calibri" w:hAnsi="Calibri"/>
      <w:b w:val="0"/>
      <w:i w:val="0"/>
      <w:color w:val="5B6770"/>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