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1A1A"/>
          <w:sz w:val="36"/>
          <w:szCs w:val="36"/>
        </w:rPr>
        <w:t xml:space="preserve">Jarrett Driscoll</w:t>
      </w:r>
    </w:p>
    <w:p>
      <w:pPr>
        <w:spacing w:after="120"/>
        <w:jc w:val="center"/>
      </w:pPr>
      <w:r>
        <w:rPr>
          <w:rFonts w:ascii="Arial" w:cs="Arial" w:eastAsia="Arial" w:hAnsi="Arial"/>
          <w:color w:val="666666"/>
          <w:sz w:val="20"/>
          <w:szCs w:val="20"/>
        </w:rPr>
        <w:t xml:space="preserve">North Huntingdon, PA  |  (412) 616-2093  |  jdriscollpro@gmail.com</w:t>
      </w:r>
    </w:p>
    <w:p>
      <w:pPr>
        <w:pBdr>
          <w:bottom w:val="single" w:color="0066CC" w:sz="6" w:space="1"/>
        </w:pBdr>
        <w:spacing w:after="60" w:before="200"/>
      </w:pPr>
      <w:r>
        <w:rPr>
          <w:rFonts w:ascii="Arial" w:cs="Arial" w:eastAsia="Arial" w:hAnsi="Arial"/>
          <w:b/>
          <w:bCs/>
          <w:color w:val="0066CC"/>
          <w:sz w:val="22"/>
          <w:szCs w:val="22"/>
        </w:rPr>
        <w:t xml:space="preserve">PROFILE</w:t>
      </w:r>
    </w:p>
    <w:p>
      <w:pPr>
        <w:spacing w:after="80"/>
      </w:pPr>
      <w:r>
        <w:rPr>
          <w:rFonts w:ascii="Arial" w:cs="Arial" w:eastAsia="Arial" w:hAnsi="Arial"/>
          <w:color w:val="1A1A1A"/>
          <w:sz w:val="20"/>
          <w:szCs w:val="20"/>
        </w:rPr>
        <w:t xml:space="preserve">Senior AI and Cloud Solutions Architect specializing in enabling Microsoft partners to design, build, and scale production-grade AI and agentic solutions on Azure. Deep expertise guiding partners from experimentation to durable, transactable offerings across Azure AI Foundry, Azure OpenAI, Copilot Studio, and agentic frameworks. Proven track record translating architecture depth into repeatable, outcome-based solution plays, Microsoft co-sell motions, and Marketplace-ready IP. Trusted technical advisor to CXO and partner leadership across AI readiness, Responsible AI governance, specialization attainment, and partner GTM activation. Background spans regulated industries including Government, HLS, and BFSI.</w:t>
      </w:r>
    </w:p>
    <w:p>
      <w:pPr>
        <w:pBdr>
          <w:bottom w:val="single" w:color="0066CC" w:sz="6" w:space="1"/>
        </w:pBdr>
        <w:spacing w:after="60" w:before="200"/>
      </w:pPr>
      <w:r>
        <w:rPr>
          <w:rFonts w:ascii="Arial" w:cs="Arial" w:eastAsia="Arial" w:hAnsi="Arial"/>
          <w:b/>
          <w:bCs/>
          <w:color w:val="0066CC"/>
          <w:sz w:val="22"/>
          <w:szCs w:val="22"/>
        </w:rPr>
        <w:t xml:space="preserve">EXPERIENCE</w:t>
      </w:r>
    </w:p>
    <w:p>
      <w:pPr>
        <w:spacing w:after="0" w:before="140"/>
      </w:pPr>
      <w:r>
        <w:rPr>
          <w:rFonts w:ascii="Arial" w:cs="Arial" w:eastAsia="Arial" w:hAnsi="Arial"/>
          <w:b/>
          <w:bCs/>
          <w:color w:val="1A1A1A"/>
          <w:sz w:val="22"/>
          <w:szCs w:val="22"/>
        </w:rPr>
        <w:t xml:space="preserve">Sr. AI &amp; Cloud Solution Architect</w:t>
      </w:r>
      <w:r>
        <w:rPr>
          <w:rFonts w:ascii="Arial" w:cs="Arial" w:eastAsia="Arial" w:hAnsi="Arial"/>
          <w:color w:val="666666"/>
          <w:sz w:val="22"/>
          <w:szCs w:val="22"/>
        </w:rPr>
        <w:t xml:space="preserve">  |  </w:t>
      </w:r>
      <w:r>
        <w:rPr>
          <w:rFonts w:ascii="Arial" w:cs="Arial" w:eastAsia="Arial" w:hAnsi="Arial"/>
          <w:b/>
          <w:bCs/>
          <w:color w:val="0066CC"/>
          <w:sz w:val="22"/>
          <w:szCs w:val="22"/>
        </w:rPr>
        <w:t xml:space="preserve">UST Global - Microsoft Business Unit</w:t>
      </w:r>
    </w:p>
    <w:p>
      <w:pPr>
        <w:spacing w:after="40" w:before="0"/>
      </w:pPr>
      <w:r>
        <w:rPr>
          <w:rFonts w:ascii="Arial" w:cs="Arial" w:eastAsia="Arial" w:hAnsi="Arial"/>
          <w:i/>
          <w:iCs/>
          <w:color w:val="666666"/>
          <w:sz w:val="19"/>
          <w:szCs w:val="19"/>
        </w:rPr>
        <w:t xml:space="preserve">2025 - Present</w:t>
      </w:r>
    </w:p>
    <w:p>
      <w:pPr>
        <w:pStyle w:val="ListParagraph"/>
        <w:numPr>
          <w:ilvl w:val="0"/>
          <w:numId w:val="2"/>
        </w:numPr>
        <w:spacing w:after="60"/>
      </w:pPr>
      <w:r>
        <w:rPr>
          <w:rFonts w:ascii="Arial" w:cs="Arial" w:eastAsia="Arial" w:hAnsi="Arial"/>
          <w:color w:val="1A1A1A"/>
          <w:sz w:val="20"/>
          <w:szCs w:val="20"/>
        </w:rPr>
        <w:t xml:space="preserve">Enabled Microsoft partners to design and deploy production-grade agentic AI solutions on Azure AI Foundry - including a multi-agent Partner Revenue Intelligence Platform (PRIP) and a Data Lineage Accelerator built on ANTLR4, Cosmos DB Gremlin, and GraphRAG - purpose-built as repeatable, co-sell eligible IP assets.</w:t>
      </w:r>
    </w:p>
    <w:p>
      <w:pPr>
        <w:pStyle w:val="ListParagraph"/>
        <w:numPr>
          <w:ilvl w:val="0"/>
          <w:numId w:val="2"/>
        </w:numPr>
        <w:spacing w:after="60"/>
      </w:pPr>
      <w:r>
        <w:rPr>
          <w:rFonts w:ascii="Arial" w:cs="Arial" w:eastAsia="Arial" w:hAnsi="Arial"/>
          <w:color w:val="1A1A1A"/>
          <w:sz w:val="20"/>
          <w:szCs w:val="20"/>
        </w:rPr>
        <w:t xml:space="preserve">Guided partners from POC to production-scale AI deployment across retail, HLS, financial services, and telecom verticals - leading architecture design sessions, defining MVP scope, and developing customer evidence packages supporting specialization qualification and Microsoft co-sell motion activation.</w:t>
      </w:r>
    </w:p>
    <w:p>
      <w:pPr>
        <w:pStyle w:val="ListParagraph"/>
        <w:numPr>
          <w:ilvl w:val="0"/>
          <w:numId w:val="2"/>
        </w:numPr>
        <w:spacing w:after="60"/>
      </w:pPr>
      <w:r>
        <w:rPr>
          <w:rFonts w:ascii="Arial" w:cs="Arial" w:eastAsia="Arial" w:hAnsi="Arial"/>
          <w:color w:val="1A1A1A"/>
          <w:sz w:val="20"/>
          <w:szCs w:val="20"/>
        </w:rPr>
        <w:t xml:space="preserve">Built Microsoft Marketplace infrastructure from scratch including transactable offer onboarding, MACC drawdown setup, and co-sell motion activation - enabling partner IP to generate inbound L3 pipeline through Microsoft field engagement.</w:t>
      </w:r>
    </w:p>
    <w:p>
      <w:pPr>
        <w:pStyle w:val="ListParagraph"/>
        <w:numPr>
          <w:ilvl w:val="0"/>
          <w:numId w:val="2"/>
        </w:numPr>
        <w:spacing w:after="60"/>
      </w:pPr>
      <w:r>
        <w:rPr>
          <w:rFonts w:ascii="Arial" w:cs="Arial" w:eastAsia="Arial" w:hAnsi="Arial"/>
          <w:color w:val="1A1A1A"/>
          <w:sz w:val="20"/>
          <w:szCs w:val="20"/>
        </w:rPr>
        <w:t xml:space="preserve">Architected Responsible AI governance frameworks and partner readiness programs across Azure AI Platform, Developer Productivity, and Security solution plays - including multi-cloud co-sell operating models spanning Microsoft, AWS, and GCP competency attainment roadmaps.</w:t>
      </w:r>
    </w:p>
    <w:p>
      <w:pPr>
        <w:pStyle w:val="ListParagraph"/>
        <w:numPr>
          <w:ilvl w:val="0"/>
          <w:numId w:val="2"/>
        </w:numPr>
        <w:spacing w:after="60"/>
      </w:pPr>
      <w:r>
        <w:rPr>
          <w:rFonts w:ascii="Arial" w:cs="Arial" w:eastAsia="Arial" w:hAnsi="Arial"/>
          <w:color w:val="1A1A1A"/>
          <w:sz w:val="20"/>
          <w:szCs w:val="20"/>
        </w:rPr>
        <w:t xml:space="preserve">Attained two Microsoft Advanced Specializations in a single quarter - Analytics on Azure and Agentic DevOps with Azure and GitHub - with AI Platform on Azure Advanced Specialization audit scheduled May 2026; led all evidence architecture, scope interpretation, and audit operating cadence.</w:t>
      </w:r>
    </w:p>
    <w:p>
      <w:pPr>
        <w:pStyle w:val="ListParagraph"/>
        <w:numPr>
          <w:ilvl w:val="0"/>
          <w:numId w:val="2"/>
        </w:numPr>
        <w:spacing w:after="60"/>
      </w:pPr>
      <w:r>
        <w:rPr>
          <w:rFonts w:ascii="Arial" w:cs="Arial" w:eastAsia="Arial" w:hAnsi="Arial"/>
          <w:color w:val="1A1A1A"/>
          <w:sz w:val="20"/>
          <w:szCs w:val="20"/>
        </w:rPr>
        <w:t xml:space="preserve">Designed and deployed SAP AIOps platform validated against live S/4HANA environments with 25-pattern taxonomy across 7 SAP modules; architected mainframe-to-Azure modernization tooling (CodeCrafter) with 17+ language conversion rails including COBOL, BTEQ, RPG, and KSH, validated with $950K in documented client savings.</w:t>
      </w:r>
    </w:p>
    <w:p>
      <w:pPr>
        <w:spacing w:after="0" w:before="140"/>
      </w:pPr>
      <w:r>
        <w:rPr>
          <w:rFonts w:ascii="Arial" w:cs="Arial" w:eastAsia="Arial" w:hAnsi="Arial"/>
          <w:b/>
          <w:bCs/>
          <w:color w:val="1A1A1A"/>
          <w:sz w:val="22"/>
          <w:szCs w:val="22"/>
        </w:rPr>
        <w:t xml:space="preserve">Sr. Solution Specialist, Government &amp; Public Services</w:t>
      </w:r>
      <w:r>
        <w:rPr>
          <w:rFonts w:ascii="Arial" w:cs="Arial" w:eastAsia="Arial" w:hAnsi="Arial"/>
          <w:color w:val="666666"/>
          <w:sz w:val="22"/>
          <w:szCs w:val="22"/>
        </w:rPr>
        <w:t xml:space="preserve">  |  </w:t>
      </w:r>
      <w:r>
        <w:rPr>
          <w:rFonts w:ascii="Arial" w:cs="Arial" w:eastAsia="Arial" w:hAnsi="Arial"/>
          <w:b/>
          <w:bCs/>
          <w:color w:val="0066CC"/>
          <w:sz w:val="22"/>
          <w:szCs w:val="22"/>
        </w:rPr>
        <w:t xml:space="preserve">Deloitte</w:t>
      </w:r>
    </w:p>
    <w:p>
      <w:pPr>
        <w:spacing w:after="40" w:before="0"/>
      </w:pPr>
      <w:r>
        <w:rPr>
          <w:rFonts w:ascii="Arial" w:cs="Arial" w:eastAsia="Arial" w:hAnsi="Arial"/>
          <w:i/>
          <w:iCs/>
          <w:color w:val="666666"/>
          <w:sz w:val="19"/>
          <w:szCs w:val="19"/>
        </w:rPr>
        <w:t xml:space="preserve">2021 - 2025</w:t>
      </w:r>
    </w:p>
    <w:p>
      <w:pPr>
        <w:pStyle w:val="ListParagraph"/>
        <w:numPr>
          <w:ilvl w:val="0"/>
          <w:numId w:val="2"/>
        </w:numPr>
        <w:spacing w:after="60"/>
      </w:pPr>
      <w:r>
        <w:rPr>
          <w:rFonts w:ascii="Arial" w:cs="Arial" w:eastAsia="Arial" w:hAnsi="Arial"/>
          <w:color w:val="1A1A1A"/>
          <w:sz w:val="20"/>
          <w:szCs w:val="20"/>
        </w:rPr>
        <w:t xml:space="preserve">Designed and delivered an enterprise RAG architecture integrating Microsoft Copilot, Azure Functions, and ServiceNow APIs - a reusable AI pattern deployed across Government, Energy, and Utilities clients, achieving 40% inquiry reduction and 15+ staff hours saved weekly.</w:t>
      </w:r>
    </w:p>
    <w:p>
      <w:pPr>
        <w:pStyle w:val="ListParagraph"/>
        <w:numPr>
          <w:ilvl w:val="0"/>
          <w:numId w:val="2"/>
        </w:numPr>
        <w:spacing w:after="60"/>
      </w:pPr>
      <w:r>
        <w:rPr>
          <w:rFonts w:ascii="Arial" w:cs="Arial" w:eastAsia="Arial" w:hAnsi="Arial"/>
          <w:color w:val="1A1A1A"/>
          <w:sz w:val="20"/>
          <w:szCs w:val="20"/>
        </w:rPr>
        <w:t xml:space="preserve">Architected a production conversational AI platform using Microsoft Power Virtual Agent with Direct Line API integration, sustaining 10K+ messages per week and materially improving digital citizen engagement across web and mobile channels.</w:t>
      </w:r>
    </w:p>
    <w:p>
      <w:pPr>
        <w:pStyle w:val="ListParagraph"/>
        <w:numPr>
          <w:ilvl w:val="0"/>
          <w:numId w:val="2"/>
        </w:numPr>
        <w:spacing w:after="60"/>
      </w:pPr>
      <w:r>
        <w:rPr>
          <w:rFonts w:ascii="Arial" w:cs="Arial" w:eastAsia="Arial" w:hAnsi="Arial"/>
          <w:color w:val="1A1A1A"/>
          <w:sz w:val="20"/>
          <w:szCs w:val="20"/>
        </w:rPr>
        <w:t xml:space="preserve">Led client-facing architecture strategy and technical governance for DoD and DHS clients, aligning AI, automation, and cloud-native designs with mission requirements while coordinating delivery across engineering, security, and platform teams. Holds active U.S. Government Secret Security Clearance.</w:t>
      </w:r>
    </w:p>
    <w:p>
      <w:pPr>
        <w:pStyle w:val="ListParagraph"/>
        <w:numPr>
          <w:ilvl w:val="0"/>
          <w:numId w:val="2"/>
        </w:numPr>
        <w:spacing w:after="60"/>
      </w:pPr>
      <w:r>
        <w:rPr>
          <w:rFonts w:ascii="Arial" w:cs="Arial" w:eastAsia="Arial" w:hAnsi="Arial"/>
          <w:color w:val="1A1A1A"/>
          <w:sz w:val="20"/>
          <w:szCs w:val="20"/>
        </w:rPr>
        <w:t xml:space="preserve">Led large-scale RPA modernization for a DHS-affiliated state agency applying OCR and HTML screen scraping - scaling processing throughput from approximately 100 manual entries per day to 300,000 biweekly.</w:t>
      </w:r>
    </w:p>
    <w:p>
      <w:pPr>
        <w:pStyle w:val="ListParagraph"/>
        <w:numPr>
          <w:ilvl w:val="0"/>
          <w:numId w:val="2"/>
        </w:numPr>
        <w:spacing w:after="60"/>
      </w:pPr>
      <w:r>
        <w:rPr>
          <w:rFonts w:ascii="Arial" w:cs="Arial" w:eastAsia="Arial" w:hAnsi="Arial"/>
          <w:color w:val="1A1A1A"/>
          <w:sz w:val="20"/>
          <w:szCs w:val="20"/>
        </w:rPr>
        <w:t xml:space="preserve">Designed an Azure AI NLP solution for a firm-wide R&amp;D innovation hub, processing 150,000+ unstructured documents and reducing manual review effort by 40%.</w:t>
      </w:r>
    </w:p>
    <w:p>
      <w:pPr>
        <w:spacing w:after="0" w:before="140"/>
      </w:pPr>
      <w:r>
        <w:rPr>
          <w:rFonts w:ascii="Arial" w:cs="Arial" w:eastAsia="Arial" w:hAnsi="Arial"/>
          <w:b/>
          <w:bCs/>
          <w:color w:val="1A1A1A"/>
          <w:sz w:val="22"/>
          <w:szCs w:val="22"/>
        </w:rPr>
        <w:t xml:space="preserve">RPA Advisor / Senior Automation Analyst</w:t>
      </w:r>
      <w:r>
        <w:rPr>
          <w:rFonts w:ascii="Arial" w:cs="Arial" w:eastAsia="Arial" w:hAnsi="Arial"/>
          <w:color w:val="666666"/>
          <w:sz w:val="22"/>
          <w:szCs w:val="22"/>
        </w:rPr>
        <w:t xml:space="preserve">  |  </w:t>
      </w:r>
      <w:r>
        <w:rPr>
          <w:rFonts w:ascii="Arial" w:cs="Arial" w:eastAsia="Arial" w:hAnsi="Arial"/>
          <w:b/>
          <w:bCs/>
          <w:color w:val="0066CC"/>
          <w:sz w:val="22"/>
          <w:szCs w:val="22"/>
        </w:rPr>
        <w:t xml:space="preserve">CVS Health / Aetna</w:t>
      </w:r>
    </w:p>
    <w:p>
      <w:pPr>
        <w:spacing w:after="40" w:before="0"/>
      </w:pPr>
      <w:r>
        <w:rPr>
          <w:rFonts w:ascii="Arial" w:cs="Arial" w:eastAsia="Arial" w:hAnsi="Arial"/>
          <w:i/>
          <w:iCs/>
          <w:color w:val="666666"/>
          <w:sz w:val="19"/>
          <w:szCs w:val="19"/>
        </w:rPr>
        <w:t xml:space="preserve">2014 - 2021</w:t>
      </w:r>
    </w:p>
    <w:p>
      <w:pPr>
        <w:pStyle w:val="ListParagraph"/>
        <w:numPr>
          <w:ilvl w:val="0"/>
          <w:numId w:val="2"/>
        </w:numPr>
        <w:spacing w:after="60"/>
      </w:pPr>
      <w:r>
        <w:rPr>
          <w:rFonts w:ascii="Arial" w:cs="Arial" w:eastAsia="Arial" w:hAnsi="Arial"/>
          <w:color w:val="1A1A1A"/>
          <w:sz w:val="20"/>
          <w:szCs w:val="20"/>
        </w:rPr>
        <w:t xml:space="preserve">Redesigned 85+ operational work queues for a healthcare payables organization, re-architecting Alteryx and RPA workflows to significantly increase processing efficiency and throughput.</w:t>
      </w:r>
    </w:p>
    <w:p>
      <w:pPr>
        <w:pStyle w:val="ListParagraph"/>
        <w:numPr>
          <w:ilvl w:val="0"/>
          <w:numId w:val="2"/>
        </w:numPr>
        <w:spacing w:after="60"/>
      </w:pPr>
      <w:r>
        <w:rPr>
          <w:rFonts w:ascii="Arial" w:cs="Arial" w:eastAsia="Arial" w:hAnsi="Arial"/>
          <w:color w:val="1A1A1A"/>
          <w:sz w:val="20"/>
          <w:szCs w:val="20"/>
        </w:rPr>
        <w:t xml:space="preserve">Engineered screen-scraping and data-ingestion pipelines using Python and Automation Anywhere, integrating real-time vendor portal data into ERP systems.</w:t>
      </w:r>
    </w:p>
    <w:p>
      <w:pPr>
        <w:pStyle w:val="ListParagraph"/>
        <w:numPr>
          <w:ilvl w:val="0"/>
          <w:numId w:val="2"/>
        </w:numPr>
        <w:spacing w:after="60"/>
      </w:pPr>
      <w:r>
        <w:rPr>
          <w:rFonts w:ascii="Arial" w:cs="Arial" w:eastAsia="Arial" w:hAnsi="Arial"/>
          <w:color w:val="1A1A1A"/>
          <w:sz w:val="20"/>
          <w:szCs w:val="20"/>
        </w:rPr>
        <w:t xml:space="preserve">Automated data extraction pipelines across Oracle SQL databases using Alteryx into Teradata, achieving up to 10x query performance improvements and reducing collector processing effort by 1,700+ hours annually.</w:t>
      </w:r>
    </w:p>
    <w:p>
      <w:pPr>
        <w:pBdr>
          <w:bottom w:val="single" w:color="0066CC" w:sz="6" w:space="1"/>
        </w:pBdr>
        <w:spacing w:after="60" w:before="200"/>
      </w:pPr>
      <w:r>
        <w:rPr>
          <w:rFonts w:ascii="Arial" w:cs="Arial" w:eastAsia="Arial" w:hAnsi="Arial"/>
          <w:b/>
          <w:bCs/>
          <w:color w:val="0066CC"/>
          <w:sz w:val="22"/>
          <w:szCs w:val="22"/>
        </w:rPr>
        <w:t xml:space="preserve">CORE CAPABILITIES</w:t>
      </w:r>
    </w:p>
    <w:p>
      <w:pPr>
        <w:spacing w:after="60"/>
        <w:jc w:val="left"/>
      </w:pPr>
      <w:r>
        <w:rPr>
          <w:rFonts w:ascii="Arial" w:cs="Arial" w:eastAsia="Arial" w:hAnsi="Arial"/>
          <w:color w:val="444444"/>
          <w:sz w:val="19"/>
          <w:szCs w:val="19"/>
        </w:rPr>
        <w:t xml:space="preserve">Azure AI Foundry  |  Azure OpenAI  |  Copilot Studio  |  Agentic Frameworks  |  GitHub Copilot  |  Azure Data Platform (Fabric / Databricks)  |  Azure AI Search / GraphRAG  |  RAG Architecture</w:t>
      </w:r>
    </w:p>
    <w:p>
      <w:pPr>
        <w:spacing w:after="60"/>
        <w:jc w:val="left"/>
      </w:pPr>
      <w:r>
        <w:rPr>
          <w:rFonts w:ascii="Arial" w:cs="Arial" w:eastAsia="Arial" w:hAnsi="Arial"/>
          <w:color w:val="444444"/>
          <w:sz w:val="19"/>
          <w:szCs w:val="19"/>
        </w:rPr>
        <w:t xml:space="preserve">Microsoft Partner Center &amp; Co-Sell  |  Azure Marketplace / MACC  |  Partner GTM Strategy  |  Partner Specialization &amp; Designation Enablement  |  Enterprise Presales  |  Responsible AI Governance</w:t>
      </w:r>
    </w:p>
    <w:p>
      <w:pPr>
        <w:spacing w:after="60"/>
        <w:jc w:val="left"/>
      </w:pPr>
      <w:r>
        <w:rPr>
          <w:rFonts w:ascii="Arial" w:cs="Arial" w:eastAsia="Arial" w:hAnsi="Arial"/>
          <w:color w:val="444444"/>
          <w:sz w:val="19"/>
          <w:szCs w:val="19"/>
        </w:rPr>
        <w:t xml:space="preserve">Cloud Solution Architecture (Azure / AWS / GCP)  |  Power BI / Fabric  |  RPA / Automation  |  Government / DoD / DHS  |  HLS  |  BFSI  |  Active U.S. Secret Security Clearance</w:t>
      </w:r>
    </w:p>
    <w:p>
      <w:pPr>
        <w:pBdr>
          <w:bottom w:val="single" w:color="0066CC" w:sz="6" w:space="1"/>
        </w:pBdr>
        <w:spacing w:after="60" w:before="200"/>
      </w:pPr>
      <w:r>
        <w:rPr>
          <w:rFonts w:ascii="Arial" w:cs="Arial" w:eastAsia="Arial" w:hAnsi="Arial"/>
          <w:b/>
          <w:bCs/>
          <w:color w:val="0066CC"/>
          <w:sz w:val="22"/>
          <w:szCs w:val="22"/>
        </w:rPr>
        <w:t xml:space="preserve">CERTIFICATIONS &amp; SPECIALIZATIONS</w:t>
      </w:r>
    </w:p>
    <w:p>
      <w:pPr>
        <w:pStyle w:val="ListParagraph"/>
        <w:numPr>
          <w:ilvl w:val="0"/>
          <w:numId w:val="2"/>
        </w:numPr>
        <w:spacing w:after="60"/>
      </w:pPr>
      <w:r>
        <w:rPr>
          <w:rFonts w:ascii="Arial" w:cs="Arial" w:eastAsia="Arial" w:hAnsi="Arial"/>
          <w:color w:val="1A1A1A"/>
          <w:sz w:val="20"/>
          <w:szCs w:val="20"/>
        </w:rPr>
        <w:t xml:space="preserve">Analytics on Azure Advanced Specialization (Microsoft) - 2026</w:t>
      </w:r>
    </w:p>
    <w:p>
      <w:pPr>
        <w:pStyle w:val="ListParagraph"/>
        <w:numPr>
          <w:ilvl w:val="0"/>
          <w:numId w:val="2"/>
        </w:numPr>
        <w:spacing w:after="60"/>
      </w:pPr>
      <w:r>
        <w:rPr>
          <w:rFonts w:ascii="Arial" w:cs="Arial" w:eastAsia="Arial" w:hAnsi="Arial"/>
          <w:color w:val="1A1A1A"/>
          <w:sz w:val="20"/>
          <w:szCs w:val="20"/>
        </w:rPr>
        <w:t xml:space="preserve">Agentic DevOps with Azure and GitHub Advanced Specialization (Microsoft) - 2026</w:t>
      </w:r>
    </w:p>
    <w:p>
      <w:pPr>
        <w:pStyle w:val="ListParagraph"/>
        <w:numPr>
          <w:ilvl w:val="0"/>
          <w:numId w:val="2"/>
        </w:numPr>
        <w:spacing w:after="60"/>
      </w:pPr>
      <w:r>
        <w:rPr>
          <w:rFonts w:ascii="Arial" w:cs="Arial" w:eastAsia="Arial" w:hAnsi="Arial"/>
          <w:color w:val="1A1A1A"/>
          <w:sz w:val="20"/>
          <w:szCs w:val="20"/>
        </w:rPr>
        <w:t xml:space="preserve">AI Platform on Azure Advanced Specialization - Audit Scheduled May 2026</w:t>
      </w:r>
    </w:p>
    <w:p>
      <w:pPr>
        <w:pStyle w:val="ListParagraph"/>
        <w:numPr>
          <w:ilvl w:val="0"/>
          <w:numId w:val="2"/>
        </w:numPr>
        <w:spacing w:after="60"/>
      </w:pPr>
      <w:r>
        <w:rPr>
          <w:rFonts w:ascii="Arial" w:cs="Arial" w:eastAsia="Arial" w:hAnsi="Arial"/>
          <w:color w:val="1A1A1A"/>
          <w:sz w:val="20"/>
          <w:szCs w:val="20"/>
        </w:rPr>
        <w:t xml:space="preserve">Azure AI Fundamentals (Microsoft)</w:t>
      </w:r>
    </w:p>
    <w:p>
      <w:pPr>
        <w:pStyle w:val="ListParagraph"/>
        <w:numPr>
          <w:ilvl w:val="0"/>
          <w:numId w:val="2"/>
        </w:numPr>
        <w:spacing w:after="60"/>
      </w:pPr>
      <w:r>
        <w:rPr>
          <w:rFonts w:ascii="Arial" w:cs="Arial" w:eastAsia="Arial" w:hAnsi="Arial"/>
          <w:color w:val="1A1A1A"/>
          <w:sz w:val="20"/>
          <w:szCs w:val="20"/>
        </w:rPr>
        <w:t xml:space="preserve">Power BI Data Analyst Associate (Microsoft)</w:t>
      </w:r>
    </w:p>
    <w:p>
      <w:pPr>
        <w:pStyle w:val="ListParagraph"/>
        <w:numPr>
          <w:ilvl w:val="0"/>
          <w:numId w:val="2"/>
        </w:numPr>
        <w:spacing w:after="60"/>
      </w:pPr>
      <w:r>
        <w:rPr>
          <w:rFonts w:ascii="Arial" w:cs="Arial" w:eastAsia="Arial" w:hAnsi="Arial"/>
          <w:color w:val="1A1A1A"/>
          <w:sz w:val="20"/>
          <w:szCs w:val="20"/>
        </w:rPr>
        <w:t xml:space="preserve">Power Platform Fundamentals (Microsoft)</w:t>
      </w:r>
    </w:p>
    <w:p>
      <w:pPr>
        <w:pStyle w:val="ListParagraph"/>
        <w:numPr>
          <w:ilvl w:val="0"/>
          <w:numId w:val="2"/>
        </w:numPr>
        <w:spacing w:after="60"/>
      </w:pPr>
      <w:r>
        <w:rPr>
          <w:rFonts w:ascii="Arial" w:cs="Arial" w:eastAsia="Arial" w:hAnsi="Arial"/>
          <w:color w:val="1A1A1A"/>
          <w:sz w:val="20"/>
          <w:szCs w:val="20"/>
        </w:rPr>
        <w:t xml:space="preserve">Vertex AI: Foundations in Machine Learning (Google Cloud)</w:t>
      </w:r>
    </w:p>
    <w:p>
      <w:pPr>
        <w:pStyle w:val="ListParagraph"/>
        <w:numPr>
          <w:ilvl w:val="0"/>
          <w:numId w:val="2"/>
        </w:numPr>
        <w:spacing w:after="60"/>
      </w:pPr>
      <w:r>
        <w:rPr>
          <w:rFonts w:ascii="Arial" w:cs="Arial" w:eastAsia="Arial" w:hAnsi="Arial"/>
          <w:color w:val="1A1A1A"/>
          <w:sz w:val="20"/>
          <w:szCs w:val="20"/>
        </w:rPr>
        <w:t xml:space="preserve">Advanced RPA Professional (Automation Anywhere)</w:t>
      </w:r>
    </w:p>
    <w:p>
      <w:pPr>
        <w:pBdr>
          <w:bottom w:val="single" w:color="0066CC" w:sz="6" w:space="1"/>
        </w:pBdr>
        <w:spacing w:after="60" w:before="200"/>
      </w:pPr>
      <w:r>
        <w:rPr>
          <w:rFonts w:ascii="Arial" w:cs="Arial" w:eastAsia="Arial" w:hAnsi="Arial"/>
          <w:b/>
          <w:bCs/>
          <w:color w:val="0066CC"/>
          <w:sz w:val="22"/>
          <w:szCs w:val="22"/>
        </w:rPr>
        <w:t xml:space="preserve">EDUCATION</w:t>
      </w:r>
    </w:p>
    <w:p>
      <w:pPr>
        <w:spacing w:after="0" w:before="80"/>
      </w:pPr>
      <w:r>
        <w:rPr>
          <w:rFonts w:ascii="Arial" w:cs="Arial" w:eastAsia="Arial" w:hAnsi="Arial"/>
          <w:b/>
          <w:bCs/>
          <w:color w:val="1A1A1A"/>
          <w:sz w:val="20"/>
          <w:szCs w:val="20"/>
        </w:rPr>
        <w:t xml:space="preserve">B.A. in Corporate Communication</w:t>
      </w:r>
      <w:r>
        <w:rPr>
          <w:rFonts w:ascii="Arial" w:cs="Arial" w:eastAsia="Arial" w:hAnsi="Arial"/>
          <w:color w:val="444444"/>
          <w:sz w:val="20"/>
          <w:szCs w:val="20"/>
        </w:rPr>
        <w:t xml:space="preserve">  |  Penn State University</w:t>
      </w:r>
    </w:p>
    <w:p>
      <w:pPr>
        <w:spacing w:after="60" w:before="0"/>
      </w:pPr>
      <w:r>
        <w:rPr>
          <w:rFonts w:ascii="Arial" w:cs="Arial" w:eastAsia="Arial" w:hAnsi="Arial"/>
          <w:i/>
          <w:iCs/>
          <w:color w:val="666666"/>
          <w:sz w:val="19"/>
          <w:szCs w:val="19"/>
        </w:rPr>
        <w:t xml:space="preserve">2008 - 2012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2026-04-25T15:09:07.997Z</dcterms:created>
  <dcterms:modified xsi:type="dcterms:W3CDTF">2026-04-25T15:09:07.998Z</dcterms:modified>
</cp:coreProperties>
</file>

<file path=docProps/custom.xml><?xml version="1.0" encoding="utf-8"?>
<Properties xmlns="http://schemas.openxmlformats.org/officeDocument/2006/custom-properties" xmlns:vt="http://schemas.openxmlformats.org/officeDocument/2006/docPropsVTypes"/>
</file>