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4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382"/>
        <w:gridCol w:w="4382"/>
        <w:tblGridChange w:id="0">
          <w:tblGrid>
            <w:gridCol w:w="4382"/>
            <w:gridCol w:w="43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4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82"/>
        <w:gridCol w:w="1355"/>
        <w:gridCol w:w="3027"/>
        <w:tblGridChange w:id="0">
          <w:tblGrid>
            <w:gridCol w:w="4382"/>
            <w:gridCol w:w="1355"/>
            <w:gridCol w:w="3027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Fecha: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Ingeniería en Desarrollo y Gestión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Grupo: 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Asignatura: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Extracción de Conocimiento en Base de Datos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96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3967"/>
              <w:tblGridChange w:id="0">
                <w:tblGrid>
                  <w:gridCol w:w="3967"/>
                </w:tblGrid>
              </w:tblGridChange>
            </w:tblGrid>
            <w:tr>
              <w:trPr>
                <w:cantSplit w:val="0"/>
                <w:trHeight w:val="10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Unidad temática: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IV Análisis no supervisado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Profesor: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MGTI. María Eugenia Guerrero Chan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Título: Análisis no supervisado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Algoritmos de aprendizaje no supervisado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son los Algoritmos de aprendizaje no supervisado y tipos.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el Análisis no supervisado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Usos y objetivo del análisis no supervisado.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son los Algoritmos de agrupación y tipos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 donde se aplican los Algoritmos de agrupación.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son los Algoritmos de reducción de dimensionalidad y tipos.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 donde se aplican los Algoritmos de reducción de dimensionalidad.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Métricas de evaluación de modelos de procesamiento de datos.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son métricas de evaluación de modelos de agrupación y reducción de dimensionalidad.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el proceso de entrenamiento y evaluación de agrupación y reducción de dimensionalidad.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el proceso de optimización de modelos de agrupación y reducción de dimensionalidad.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Bibliografía </w:t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9986.0" w:type="dxa"/>
      <w:jc w:val="center"/>
      <w:tblLayout w:type="fixed"/>
      <w:tblLook w:val="0400"/>
    </w:tblPr>
    <w:tblGrid>
      <w:gridCol w:w="2438"/>
      <w:gridCol w:w="2685"/>
      <w:gridCol w:w="2252"/>
      <w:gridCol w:w="2611"/>
      <w:tblGridChange w:id="0">
        <w:tblGrid>
          <w:gridCol w:w="2438"/>
          <w:gridCol w:w="2685"/>
          <w:gridCol w:w="2252"/>
          <w:gridCol w:w="2611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409065" cy="579120"/>
                <wp:effectExtent b="0" l="0" r="0" t="0"/>
                <wp:docPr descr="Descripción: Descripción: universidad_tecnologica" id="1" name="image1.jpg"/>
                <a:graphic>
                  <a:graphicData uri="http://schemas.openxmlformats.org/drawingml/2006/picture">
                    <pic:pic>
                      <pic:nvPicPr>
                        <pic:cNvPr descr="Descripción: Descripción: universidad_tecnologic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065" cy="5791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8"/>
              <w:szCs w:val="28"/>
              <w:rtl w:val="0"/>
            </w:rPr>
            <w:t xml:space="preserve">PRÁCTICA DE EJERCICIOS</w:t>
          </w:r>
          <w:r w:rsidDel="00000000" w:rsidR="00000000" w:rsidRPr="00000000">
            <w:rPr>
              <w:b w:val="1"/>
              <w:color w:val="000000"/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20"/>
              <w:szCs w:val="20"/>
              <w:rtl w:val="0"/>
            </w:rPr>
            <w:t xml:space="preserve">Fecha de emisión: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10/01/2013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sz w:val="22"/>
              <w:szCs w:val="22"/>
              <w:rtl w:val="0"/>
            </w:rPr>
            <w:t xml:space="preserve">Sistema de Gestión de la Calidad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2"/>
              <w:szCs w:val="22"/>
            </w:rPr>
          </w:pP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Revisión:</w:t>
          </w:r>
          <w:r w:rsidDel="00000000" w:rsidR="00000000" w:rsidRPr="00000000">
            <w:rPr>
              <w:color w:val="000000"/>
              <w:sz w:val="22"/>
              <w:szCs w:val="22"/>
              <w:rtl w:val="0"/>
            </w:rPr>
            <w:t xml:space="preserve">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2"/>
              <w:szCs w:val="22"/>
            </w:rPr>
          </w:pPr>
          <w:r w:rsidDel="00000000" w:rsidR="00000000" w:rsidRPr="00000000">
            <w:rPr>
              <w:color w:val="000000"/>
              <w:sz w:val="22"/>
              <w:szCs w:val="22"/>
              <w:rtl w:val="0"/>
            </w:rPr>
            <w:t xml:space="preserve">Página </w:t>
          </w:r>
          <w:r w:rsidDel="00000000" w:rsidR="00000000" w:rsidRPr="00000000">
            <w:rPr>
              <w:b w:val="1"/>
              <w:color w:val="000000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22"/>
              <w:szCs w:val="22"/>
              <w:rtl w:val="0"/>
            </w:rPr>
            <w:t xml:space="preserve"> de </w:t>
          </w:r>
          <w:r w:rsidDel="00000000" w:rsidR="00000000" w:rsidRPr="00000000">
            <w:rPr>
              <w:b w:val="1"/>
              <w:color w:val="000000"/>
              <w:sz w:val="22"/>
              <w:szCs w:val="2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b w:val="1"/>
        <w:color w:val="000000"/>
        <w:sz w:val="20"/>
        <w:szCs w:val="20"/>
      </w:rPr>
    </w:pPr>
    <w:r w:rsidDel="00000000" w:rsidR="00000000" w:rsidRPr="00000000">
      <w:rPr>
        <w:rFonts w:ascii="Arimo" w:cs="Arimo" w:eastAsia="Arimo" w:hAnsi="Arimo"/>
        <w:color w:val="000000"/>
        <w:sz w:val="20"/>
        <w:szCs w:val="20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