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DOC-10-006 — Rantai v3 (use case SRS v2): Modul 10 menuntaskan UC-07 (QRIS otomatis setelah checkout, gambar QRIS + penghitung mundur ≤ 15 menit, rincian split per tenant, percobaan ulang 3 kali saat gateway tidak merespons, QRIS baru saat kedaluwarsa, pemantauan status, batalkan pesanan yang belum dibayar); ditambahkan deskripsi use case, mockup, Tahap 8, dan output nyata browser.</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DOC-11-008 — Rantai v3 (use case SRS v2): Modul 11 menuntaskan UC-08 (nominal dicocokkan + tinjau manual, audit signature salah, penguncian baris, expire/deny membatalkan pesanan, event setelah commit, layar Pembayaran terverifikasi) dan UC-10 (ledger pengelola kantin, rincian pemecahan selisih 0, alokasi pembulatan, proses ulang settlement gagal); ditambahkan deskripsi use case, mockup, Tahap 8, dan output nyata.</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DOC-12-006 — Rantai v3 (use case SRS v2): Modul 12 menuntaskan UC-15 (KDS kolom Baru/Diproses/Siap, Terima → Selesai → Diserahkan, batal beralasan + refund pending, penanda suara, indikator koneksi + polling 10 detik), UC-09 (halaman pelacakan real-time lewat channel privat order.{public_id}, estimasi UC-11, polling 15 detik), dan UC-12 (NotificationGateway + FakeWhatsAppGateway, job antrean 3 percobaan, notification_deliveries, pengingat pre-order); ditambahkan deskripsi use case, mockup, Tahap 8, dan output nyata.</w:t>
      </w:r>
    </w:p>
    <w:p>
      <w:pPr>
        <w:pStyle w:val="ListBody"/>
      </w:pPr>
      <w:r>
        <w:rPr>
          <w:rFonts w:ascii="Aptos" w:hAnsi="Aptos"/>
          <w:color w:val="1F2937"/>
          <w:sz w:val="19"/>
        </w:rPr>
        <w:t xml:space="preserve">DOC-13-004 — Laporan/rekonsiliasi/ekspor dan panel keuangan tenant sebagai vertical slice modul Reporting; penarikan + peninjauan admin di modul Payments; path Contoh Mandiri, Landasan Teknis (termasuk </w:t>
      </w:r>
      <w:r>
        <w:rPr>
          <w:rFonts w:ascii="Consolas" w:hAnsi="Consolas"/>
          <w:color w:val="C11B12"/>
          <w:sz w:val="17"/>
          <w:shd w:fill="ECEFF3"/>
        </w:rPr>
        <w:t xml:space="preserve">app/Queries/...</w:t>
      </w:r>
      <w:r>
        <w:rPr>
          <w:rFonts w:ascii="Aptos" w:hAnsi="Aptos"/>
          <w:color w:val="1F2937"/>
          <w:sz w:val="19"/>
        </w:rPr>
        <w:t xml:space="preserve">), dan Cuplikan diselaraskan; blok Output Nyata Modul 13 v1 dipindah dari judul Modul 14.</w:t>
      </w:r>
    </w:p>
    <w:p>
      <w:pPr>
        <w:pStyle w:val="ListBody"/>
      </w:pPr>
      <w:r>
        <w:rPr>
          <w:rFonts w:ascii="Aptos" w:hAnsi="Aptos"/>
          <w:color w:val="1F2937"/>
          <w:sz w:val="19"/>
        </w:rPr>
        <w:t xml:space="preserve">DOC-13-005 — Blok BUAT FILE per tahap Modul 13: make:class (TenantLedgerReport, WithdrawalService), make:controller FQN --invokable (ekspor CSV), make:exception FQN, make:livewire reporting::finance-panel dan payments::withdrawal-review, make:test; halaman &amp; route modul manual.</w:t>
      </w:r>
    </w:p>
    <w:p>
      <w:pPr>
        <w:pStyle w:val="ListBody"/>
      </w:pPr>
      <w:r>
        <w:rPr>
          <w:rFonts w:ascii="Aptos" w:hAnsi="Aptos"/>
          <w:color w:val="1F2937"/>
          <w:sz w:val="19"/>
        </w:rPr>
        <w:t xml:space="preserve">DOC-13-006 — Rantai v3 (use case SRS v2): Modul 13 menuntaskan UC-16 (laporan omset/transaksi/rata-rata, menu terlaris, jam sibuk, rentang tanggal, keadaan kosong), UC-17 (ekspor .xlsx via ZipArchive dan PDF via dompdf lewat antrean, tautan bertanda tangan 24 jam, surel untuk volume besar), UC-18 (rekonsiliasi per transaksi + referensi pembayaran, telusur pesanan, perlu peninjauan tidak dihitung), UC-20 (penarikan dengan kunci saldo, minimum, satu pengajuan aktif, notifikasi pengelola), dan UC-23 (verifikasi dengan bukti transfer, alasan penolakan, investigasi ledger, idempoten); ditambahkan deskripsi use case, mockup, Tahap 8, dan output nyata.</w:t>
      </w:r>
    </w:p>
    <w:p>
      <w:pPr>
        <w:pStyle w:val="ListBody"/>
      </w:pPr>
      <w:r>
        <w:rPr>
          <w:rFonts w:ascii="Aptos" w:hAnsi="Aptos"/>
          <w:color w:val="1F2937"/>
          <w:sz w:val="19"/>
        </w:rPr>
        <w:t xml:space="preserve">DOC-14-004 — Hardening pada rantai vertical slice: </w:t>
      </w:r>
      <w:r>
        <w:rPr>
          <w:rFonts w:ascii="Consolas" w:hAnsi="Consolas"/>
          <w:color w:val="C11B12"/>
          <w:sz w:val="17"/>
          <w:shd w:fill="ECEFF3"/>
        </w:rPr>
        <w:t xml:space="preserve">SecurityHeaders</w:t>
      </w:r>
      <w:r>
        <w:rPr>
          <w:rFonts w:ascii="Aptos" w:hAnsi="Aptos"/>
          <w:color w:val="1F2937"/>
          <w:sz w:val="19"/>
        </w:rPr>
        <w:t xml:space="preserve"> global (shared kernel), limiter </w:t>
      </w:r>
      <w:r>
        <w:rPr>
          <w:rFonts w:ascii="Consolas" w:hAnsi="Consolas"/>
          <w:color w:val="C11B12"/>
          <w:sz w:val="17"/>
          <w:shd w:fill="ECEFF3"/>
        </w:rPr>
        <w:t xml:space="preserve">qris-webhook</w:t>
      </w:r>
      <w:r>
        <w:rPr>
          <w:rFonts w:ascii="Aptos" w:hAnsi="Aptos"/>
          <w:color w:val="1F2937"/>
          <w:sz w:val="19"/>
        </w:rPr>
        <w:t xml:space="preserve"> milik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route:cache</w:t>
      </w:r>
      <w:r>
        <w:rPr>
          <w:rFonts w:ascii="Aptos" w:hAnsi="Aptos"/>
          <w:color w:val="1F2937"/>
          <w:sz w:val="19"/>
        </w:rPr>
        <w:t xml:space="preserve"> diverifikasi memuat route semua modul dan channel via provider; gambar capstone diganti output nyata v2 (163 test); daftar berkas diselaraskan; blok Output Nyata v1 yang tersisip di judul Lampiran A dipindah ke badan Modul 14.</w:t>
      </w:r>
    </w:p>
    <w:p>
      <w:pPr>
        <w:pStyle w:val="ListBody"/>
      </w:pPr>
      <w:r>
        <w:rPr>
          <w:rFonts w:ascii="Aptos" w:hAnsi="Aptos"/>
          <w:color w:val="1F2937"/>
          <w:sz w:val="19"/>
        </w:rPr>
        <w:t xml:space="preserve">DOC-14-005 — Blok BUAT FILE per tahap Modul 14: make:middleware SecurityHeaders (shared kernel, global), make:test SecurityHeadersTest &amp; EndToEndJourneyTest, dokumen DEPLOYMENT/DEMO dan evidence manual.</w:t>
      </w:r>
    </w:p>
    <w:p>
      <w:pPr>
        <w:pStyle w:val="ListBody"/>
      </w:pPr>
      <w:r>
        <w:rPr>
          <w:rFonts w:ascii="Aptos" w:hAnsi="Aptos"/>
          <w:color w:val="1F2937"/>
          <w:sz w:val="19"/>
        </w:rPr>
        <w:t xml:space="preserve">DOC-14-006 — Rantai v3 (use case SRS v2): Modul 14 menutup rantai dengan uji penerimaan 23 use case di browser (23/23 PASS), perbaikan temuan verifikasi rekening tenant (prasyarat UC-20), dan RequirementsTraceabilityTest yang menjaga RTM; ditambahkan daftar periksa uji penerimaan, Tahap 8, dan output nyata.</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