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DOC-07-006 — Rantai v3 (use case SRS v2): Modul 7 menuntaskan UC-13 (deskripsi, foto WebP, ubah, soft delete, cari/saring), UC-14 (sakelar satu ketukan), UC-01 (kelompok per tenant, menu habis nonaktif, tenant tutup, chip kategori, pembaruan ≤ 5 detik), dan UC-11 (WaitTimeEstimator); ditambahkan deskripsi use case, mockup, Tahap 8, dan output nyata browser.</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DOC-08-006 — Rantai v3 (use case SRS v2): Modul 8 menuntaskan UC-03 (kelompok per tenant, pajak dan biaya layanan, “Menu telah habis”, checkout nonaktif saat kosong) dan UC-04 (formulir kustomisasi min/maks, opsi habis nonaktif, catatan ≤ 200 karakter tersaring, harga akhir) serta halaman tenant Kelola Modifier; ditambahkan deskripsi use case, mockup, Tahap 8, dan output nyata browser.</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DOC-09-006 — Rantai v3 (use case SRS v2): Modul 9 menuntaskan UC-05 (halaman checkout: ringkasan, nomor meja, mode penyajian, identitas ringkas, tenant wajib buka, kembali ke keranjang bila item bermasalah, catatan item tersimpan) dan UC-06 (slot pre-order 15 menit, jam operasional, kapasitas slot + slot terdekat, status terjadwal, pelepasan otomatis ke dapur tiap menit) serta halaman tenant Pengaturan Pre-Order; ditambahkan deskripsi use case, mockup, Tahap 8, dan output nyata browser.</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p>
      <w:pPr>
        <w:pStyle w:val="ListBody"/>
      </w:pPr>
      <w:r>
        <w:rPr>
          <w:rFonts w:ascii="Aptos" w:hAnsi="Aptos"/>
          <w:color w:val="1F2937"/>
          <w:sz w:val="19"/>
        </w:rPr>
        <w:t xml:space="preserve">DOC-10-006 — Rantai v3 (use case SRS v2): Modul 10 menuntaskan UC-07 (QRIS otomatis setelah checkout, gambar QRIS + penghitung mundur ≤ 15 menit, rincian split per tenant, percobaan ulang 3 kali saat gateway tidak merespons, QRIS baru saat kedaluwarsa, pemantauan status, batalkan pesanan yang belum dibayar);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