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DOC-08-006 — Rantai v3 (use case SRS v2): Modul 8 menuntaskan UC-03 (kelompok per tenant, pajak dan biaya layanan, “Menu telah habis”, checkout nonaktif saat kosong) dan UC-04 (formulir kustomisasi min/maks, opsi habis nonaktif, catatan ≤ 200 karakter tersaring, harga akhir) serta halaman tenant Kelola Modifier; ditambahkan deskripsi use case, mockup, Tahap 8, dan output nyata browser.</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DOC-09-006 — Rantai v3 (use case SRS v2): Modul 9 menuntaskan UC-05 (halaman checkout: ringkasan, nomor meja, mode penyajian, identitas ringkas, tenant wajib buka, kembali ke keranjang bila item bermasalah, catatan item tersimpan) dan UC-06 (slot pre-order 15 menit, jam operasional, kapasitas slot + slot terdekat, status terjadwal, pelepasan otomatis ke dapur tiap menit) serta halaman tenant Pengaturan Pre-Order; ditambahkan deskripsi use case, mockup, Tahap 8, dan output nyata browser.</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DOC-10-006 — Rantai v3 (use case SRS v2): Modul 10 menuntaskan UC-07 (QRIS otomatis setelah checkout, gambar QRIS + penghitung mundur ≤ 15 menit, rincian split per tenant, percobaan ulang 3 kali saat gateway tidak merespons, QRIS baru saat kedaluwarsa, pemantauan status, batalkan pesanan yang belum dibayar); ditambahkan deskripsi use case, mockup, Tahap 8, dan output nyata browser.</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p>
      <w:pPr>
        <w:pStyle w:val="ListBody"/>
      </w:pPr>
      <w:r>
        <w:rPr>
          <w:rFonts w:ascii="Aptos" w:hAnsi="Aptos"/>
          <w:color w:val="1F2937"/>
          <w:sz w:val="19"/>
        </w:rPr>
        <w:t xml:space="preserve">DOC-11-006 — Subbagian "Mengapa Endpoint Webhook Dikecualikan dari CSRF?": ancaman CSRF, alasan webhook server-ke-server tidak dapat membawa token, lapis pengganti (HMAC raw body, fail-closed, idempoten), aturan penerapan, dan Output Nyata M11c (419 vs 401; 419 bila pengecualian dicabut).</w:t>
      </w:r>
    </w:p>
    <w:p>
      <w:pPr>
        <w:pStyle w:val="ListBody"/>
      </w:pPr>
      <w:r>
        <w:rPr>
          <w:rFonts w:ascii="Aptos" w:hAnsi="Aptos"/>
          <w:color w:val="1F2937"/>
          <w:sz w:val="19"/>
        </w:rPr>
        <w:t xml:space="preserve">DOC-11-008 — Rantai v3 (use case SRS v2): Modul 11 menuntaskan UC-08 (nominal dicocokkan + tinjau manual, audit signature salah, penguncian baris, expire/deny membatalkan pesanan, event setelah commit, layar Pembayaran terverifikasi) dan UC-10 (ledger pengelola kantin, rincian pemecahan selisih 0, alokasi pembulatan, proses ulang settlement gagal); ditambahkan deskripsi use case, mockup, Tahap 8, dan output nyata.</w:t>
      </w:r>
    </w:p>
    <w:p>
      <w:pPr>
        <w:pStyle w:val="ListBody"/>
      </w:pPr>
      <w:r>
        <w:rPr>
          <w:rFonts w:ascii="Aptos" w:hAnsi="Aptos"/>
          <w:color w:val="1F2937"/>
          <w:sz w:val="19"/>
        </w:rPr>
        <w:t xml:space="preserve">DOC-12-004 — KDS sebagai vertical slice modul Kitchen: event (</w:t>
      </w:r>
      <w:r>
        <w:rPr>
          <w:rFonts w:ascii="Consolas" w:hAnsi="Consolas"/>
          <w:color w:val="C11B12"/>
          <w:sz w:val="17"/>
          <w:shd w:fill="ECEFF3"/>
        </w:rPr>
        <w:t xml:space="preserve">make:event</w:t>
      </w:r>
      <w:r>
        <w:rPr>
          <w:rFonts w:ascii="Aptos" w:hAnsi="Aptos"/>
          <w:color w:val="1F2937"/>
          <w:sz w:val="19"/>
        </w:rPr>
        <w:t xml:space="preserve"> FQN), </w:t>
      </w:r>
      <w:r>
        <w:rPr>
          <w:rFonts w:ascii="Consolas" w:hAnsi="Consolas"/>
          <w:color w:val="C11B12"/>
          <w:sz w:val="17"/>
          <w:shd w:fill="ECEFF3"/>
        </w:rPr>
        <w:t xml:space="preserve">TenantChannels</w:t>
      </w:r>
      <w:r>
        <w:rPr>
          <w:rFonts w:ascii="Aptos" w:hAnsi="Aptos"/>
          <w:color w:val="1F2937"/>
          <w:sz w:val="19"/>
        </w:rPr>
        <w:t xml:space="preserve">, channel privat </w:t>
      </w:r>
      <w:r>
        <w:rPr>
          <w:rFonts w:ascii="Consolas" w:hAnsi="Consolas"/>
          <w:color w:val="C11B12"/>
          <w:sz w:val="17"/>
          <w:shd w:fill="ECEFF3"/>
        </w:rPr>
        <w:t xml:space="preserve">tenant.{tenantId}.orders</w:t>
      </w:r>
      <w:r>
        <w:rPr>
          <w:rFonts w:ascii="Aptos" w:hAnsi="Aptos"/>
          <w:color w:val="1F2937"/>
          <w:sz w:val="19"/>
        </w:rPr>
        <w:t xml:space="preserve"> via </w:t>
      </w:r>
      <w:r>
        <w:rPr>
          <w:rFonts w:ascii="Consolas" w:hAnsi="Consolas"/>
          <w:color w:val="C11B12"/>
          <w:sz w:val="17"/>
          <w:shd w:fill="ECEFF3"/>
        </w:rPr>
        <w:t xml:space="preserve">Broadcast::channel()</w:t>
      </w:r>
      <w:r>
        <w:rPr>
          <w:rFonts w:ascii="Aptos" w:hAnsi="Aptos"/>
          <w:color w:val="1F2937"/>
          <w:sz w:val="19"/>
        </w:rPr>
        <w:t xml:space="preserve"> di </w:t>
      </w:r>
      <w:r>
        <w:rPr>
          <w:rFonts w:ascii="Consolas" w:hAnsi="Consolas"/>
          <w:color w:val="C11B12"/>
          <w:sz w:val="17"/>
          <w:shd w:fill="ECEFF3"/>
        </w:rPr>
        <w:t xml:space="preserve">KitchenServiceProvider</w:t>
      </w:r>
      <w:r>
        <w:rPr>
          <w:rFonts w:ascii="Aptos" w:hAnsi="Aptos"/>
          <w:color w:val="1F2937"/>
          <w:sz w:val="19"/>
        </w:rPr>
        <w:t xml:space="preserve"> (bukan </w:t>
      </w:r>
      <w:r>
        <w:rPr>
          <w:rFonts w:ascii="Consolas" w:hAnsi="Consolas"/>
          <w:color w:val="C11B12"/>
          <w:sz w:val="17"/>
          <w:shd w:fill="ECEFF3"/>
        </w:rPr>
        <w:t xml:space="preserve">routes/channels.php</w:t>
      </w:r>
      <w:r>
        <w:rPr>
          <w:rFonts w:ascii="Aptos" w:hAnsi="Aptos"/>
          <w:color w:val="1F2937"/>
          <w:sz w:val="19"/>
        </w:rPr>
        <w:t xml:space="preserve">; aman untuk </w:t>
      </w:r>
      <w:r>
        <w:rPr>
          <w:rFonts w:ascii="Consolas" w:hAnsi="Consolas"/>
          <w:color w:val="C11B12"/>
          <w:sz w:val="17"/>
          <w:shd w:fill="ECEFF3"/>
        </w:rPr>
        <w:t xml:space="preserve">route:cache</w:t>
      </w:r>
      <w:r>
        <w:rPr>
          <w:rFonts w:ascii="Aptos" w:hAnsi="Aptos"/>
          <w:color w:val="1F2937"/>
          <w:sz w:val="19"/>
        </w:rPr>
        <w:t xml:space="preserve">), komponen </w:t>
      </w:r>
      <w:r>
        <w:rPr>
          <w:rFonts w:ascii="Consolas" w:hAnsi="Consolas"/>
          <w:color w:val="C11B12"/>
          <w:sz w:val="17"/>
          <w:shd w:fill="ECEFF3"/>
        </w:rPr>
        <w:t xml:space="preserve">kitchen::kitchen-board</w:t>
      </w:r>
      <w:r>
        <w:rPr>
          <w:rFonts w:ascii="Aptos" w:hAnsi="Aptos"/>
          <w:color w:val="1F2937"/>
          <w:sz w:val="19"/>
        </w:rPr>
        <w:t xml:space="preserve">; nama channel </w:t>
      </w:r>
      <w:r>
        <w:rPr>
          <w:rFonts w:ascii="Consolas" w:hAnsi="Consolas"/>
          <w:color w:val="C11B12"/>
          <w:sz w:val="17"/>
          <w:shd w:fill="ECEFF3"/>
        </w:rPr>
        <w:t xml:space="preserve">.kds</w:t>
      </w:r>
      <w:r>
        <w:rPr>
          <w:rFonts w:ascii="Aptos" w:hAnsi="Aptos"/>
          <w:color w:val="1F2937"/>
          <w:sz w:val="19"/>
        </w:rPr>
        <w:t xml:space="preserve"> diselaraskan menjadi </w:t>
      </w:r>
      <w:r>
        <w:rPr>
          <w:rFonts w:ascii="Consolas" w:hAnsi="Consolas"/>
          <w:color w:val="C11B12"/>
          <w:sz w:val="17"/>
          <w:shd w:fill="ECEFF3"/>
        </w:rPr>
        <w:t xml:space="preserve">.orders</w:t>
      </w:r>
      <w:r>
        <w:rPr>
          <w:rFonts w:ascii="Aptos" w:hAnsi="Aptos"/>
          <w:color w:val="1F2937"/>
          <w:sz w:val="19"/>
        </w:rPr>
        <w:t xml:space="preserve">; path diselaraskan; blok Output Nyata Modul 12 v1 dipindah dari judul Modul 13.</w:t>
      </w:r>
    </w:p>
    <w:p>
      <w:pPr>
        <w:pStyle w:val="ListBody"/>
      </w:pPr>
      <w:r>
        <w:rPr>
          <w:rFonts w:ascii="Aptos" w:hAnsi="Aptos"/>
          <w:color w:val="1F2937"/>
          <w:sz w:val="19"/>
        </w:rPr>
        <w:t xml:space="preserve">DOC-12-005 — Blok BUAT FILE per tahap Modul 12: make:class (TenantChannels, KitchenService), make:exception FQN, make:livewire kitchen::kitchen-board, make:event FQN ×2 ke modul Kitchen, make:test; halaman &amp; route modul manual.</w:t>
      </w:r>
    </w:p>
    <w:p>
      <w:pPr>
        <w:pStyle w:val="ListBody"/>
      </w:pPr>
      <w:r>
        <w:rPr>
          <w:rFonts w:ascii="Aptos" w:hAnsi="Aptos"/>
          <w:color w:val="1F2937"/>
          <w:sz w:val="19"/>
        </w:rPr>
        <w:t xml:space="preserve">DOC-12-006 — Rantai v3 (use case SRS v2): Modul 12 menuntaskan UC-15 (KDS kolom Baru/Diproses/Siap, Terima → Selesai → Diserahkan, batal beralasan + refund pending, penanda suara, indikator koneksi + polling 10 detik), UC-09 (halaman pelacakan real-time lewat channel privat order.{public_id}, estimasi UC-11, polling 15 detik), dan UC-12 (NotificationGateway + FakeWhatsAppGateway, job antrean 3 percobaan, notification_deliveries, pengingat pre-order); ditambahkan deskripsi use case, mockup, Tahap 8, dan output nyata.</w:t>
      </w:r>
    </w:p>
    <w:p>
      <w:pPr>
        <w:pStyle w:val="ListBody"/>
      </w:pPr>
      <w:r>
        <w:rPr>
          <w:rFonts w:ascii="Aptos" w:hAnsi="Aptos"/>
          <w:color w:val="1F2937"/>
          <w:sz w:val="19"/>
        </w:rPr>
        <w:t xml:space="preserve">DOC-13-004 — Laporan/rekonsiliasi/ekspor dan panel keuangan tenant sebagai vertical slice modul Reporting; penarikan + peninjauan admin di modul Payments; path Contoh Mandiri, Landasan Teknis (termasuk </w:t>
      </w:r>
      <w:r>
        <w:rPr>
          <w:rFonts w:ascii="Consolas" w:hAnsi="Consolas"/>
          <w:color w:val="C11B12"/>
          <w:sz w:val="17"/>
          <w:shd w:fill="ECEFF3"/>
        </w:rPr>
        <w:t xml:space="preserve">app/Queries/...</w:t>
      </w:r>
      <w:r>
        <w:rPr>
          <w:rFonts w:ascii="Aptos" w:hAnsi="Aptos"/>
          <w:color w:val="1F2937"/>
          <w:sz w:val="19"/>
        </w:rPr>
        <w:t xml:space="preserve">), dan Cuplikan diselaraskan; blok Output Nyata Modul 13 v1 dipindah dari judul Modul 14.</w:t>
      </w:r>
    </w:p>
    <w:p>
      <w:pPr>
        <w:pStyle w:val="ListBody"/>
      </w:pPr>
      <w:r>
        <w:rPr>
          <w:rFonts w:ascii="Aptos" w:hAnsi="Aptos"/>
          <w:color w:val="1F2937"/>
          <w:sz w:val="19"/>
        </w:rPr>
        <w:t xml:space="preserve">DOC-13-005 — Blok BUAT FILE per tahap Modul 13: make:class (TenantLedgerReport, WithdrawalService), make:controller FQN --invokable (ekspor CSV), make:exception FQN, make:livewire reporting::finance-panel dan payments::withdrawal-review, make:test; halaman &amp; route modul manual.</w:t>
      </w:r>
    </w:p>
    <w:p>
      <w:pPr>
        <w:pStyle w:val="ListBody"/>
      </w:pPr>
      <w:r>
        <w:rPr>
          <w:rFonts w:ascii="Aptos" w:hAnsi="Aptos"/>
          <w:color w:val="1F2937"/>
          <w:sz w:val="19"/>
        </w:rPr>
        <w:t xml:space="preserve">DOC-13-006 — Rantai v3 (use case SRS v2): Modul 13 menuntaskan UC-16 (laporan omset/transaksi/rata-rata, menu terlaris, jam sibuk, rentang tanggal, keadaan kosong), UC-17 (ekspor .xlsx via ZipArchive dan PDF via dompdf lewat antrean, tautan bertanda tangan 24 jam, surel untuk volume besar), UC-18 (rekonsiliasi per transaksi + referensi pembayaran, telusur pesanan, perlu peninjauan tidak dihitung), UC-20 (penarikan dengan kunci saldo, minimum, satu pengajuan aktif, notifikasi pengelola), dan UC-23 (verifikasi dengan bukti transfer, alasan penolakan, investigasi ledger, idempoten); ditambahkan deskripsi use case, mockup, Tahap 8, dan output nyata.</w:t>
      </w:r>
    </w:p>
    <w:p>
      <w:pPr>
        <w:pStyle w:val="ListBody"/>
      </w:pPr>
      <w:r>
        <w:rPr>
          <w:rFonts w:ascii="Aptos" w:hAnsi="Aptos"/>
          <w:color w:val="1F2937"/>
          <w:sz w:val="19"/>
        </w:rPr>
        <w:t xml:space="preserve">DOC-14-004 — Hardening pada rantai vertical slice: </w:t>
      </w:r>
      <w:r>
        <w:rPr>
          <w:rFonts w:ascii="Consolas" w:hAnsi="Consolas"/>
          <w:color w:val="C11B12"/>
          <w:sz w:val="17"/>
          <w:shd w:fill="ECEFF3"/>
        </w:rPr>
        <w:t xml:space="preserve">SecurityHeaders</w:t>
      </w:r>
      <w:r>
        <w:rPr>
          <w:rFonts w:ascii="Aptos" w:hAnsi="Aptos"/>
          <w:color w:val="1F2937"/>
          <w:sz w:val="19"/>
        </w:rPr>
        <w:t xml:space="preserve"> global (shared kernel), limiter </w:t>
      </w:r>
      <w:r>
        <w:rPr>
          <w:rFonts w:ascii="Consolas" w:hAnsi="Consolas"/>
          <w:color w:val="C11B12"/>
          <w:sz w:val="17"/>
          <w:shd w:fill="ECEFF3"/>
        </w:rPr>
        <w:t xml:space="preserve">qris-webhook</w:t>
      </w:r>
      <w:r>
        <w:rPr>
          <w:rFonts w:ascii="Aptos" w:hAnsi="Aptos"/>
          <w:color w:val="1F2937"/>
          <w:sz w:val="19"/>
        </w:rPr>
        <w:t xml:space="preserve"> milik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route:cache</w:t>
      </w:r>
      <w:r>
        <w:rPr>
          <w:rFonts w:ascii="Aptos" w:hAnsi="Aptos"/>
          <w:color w:val="1F2937"/>
          <w:sz w:val="19"/>
        </w:rPr>
        <w:t xml:space="preserve"> diverifikasi memuat route semua modul dan channel via provider; gambar capstone diganti output nyata v2 (163 test); daftar berkas diselaraskan; blok Output Nyata v1 yang tersisip di judul Lampiran A dipindah ke badan Modul 14.</w:t>
      </w:r>
    </w:p>
    <w:p>
      <w:pPr>
        <w:pStyle w:val="ListBody"/>
      </w:pPr>
      <w:r>
        <w:rPr>
          <w:rFonts w:ascii="Aptos" w:hAnsi="Aptos"/>
          <w:color w:val="1F2937"/>
          <w:sz w:val="19"/>
        </w:rPr>
        <w:t xml:space="preserve">DOC-14-005 — Blok BUAT FILE per tahap Modul 14: make:middleware SecurityHeaders (shared kernel, global), make:test SecurityHeadersTest &amp; EndToEndJourneyTest, dokumen DEPLOYMENT/DEMO dan evidence manual.</w:t>
      </w:r>
    </w:p>
    <w:p>
      <w:pPr>
        <w:pStyle w:val="ListBody"/>
      </w:pPr>
      <w:r>
        <w:rPr>
          <w:rFonts w:ascii="Aptos" w:hAnsi="Aptos"/>
          <w:color w:val="1F2937"/>
          <w:sz w:val="19"/>
        </w:rPr>
        <w:t xml:space="preserve">DOC-14-006 — Rantai v3 (use case SRS v2): Modul 14 menutup rantai dengan uji penerimaan 23 use case di browser (23/23 PASS) dan audit per langkah SRS; temuan ditutup: verifikasi rekening tenant (prasyarat UC-20), siaran WebSocket perubahan katalog (UC-14/UC-13/UC-01), layar pengelola Perlu Tindak Lanjut (UC-08 alur 3a, UC-15 alur 4a) dengan pengembalian dana berbasis reversal ledger, dan uji konkurensi dua proses (UC-20/UC-23) yang menemukan serta memperbaiki deadlock; RequirementsTraceabilityTest menjaga RTM.</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