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DOC-08-006 — Rantai v3 (use case SRS v2): Modul 8 menuntaskan UC-03 (kelompok per tenant, pajak dan biaya layanan, “Menu telah habis”, checkout nonaktif saat kosong) dan UC-04 (formulir kustomisasi min/maks, opsi habis nonaktif, catatan ≤ 200 karakter tersaring, harga akhir) serta halaman tenant Kelola Modifier; ditambahkan deskripsi use case, mockup, Tahap 8, dan output nyata browser.</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DOC-09-006 — Rantai v3 (use case SRS v2): Modul 9 menuntaskan UC-05 (halaman checkout: ringkasan, nomor meja, mode penyajian, identitas ringkas, tenant wajib buka, kembali ke keranjang bila item bermasalah, catatan item tersimpan) dan UC-06 (slot pre-order 15 menit, jam operasional, kapasitas slot + slot terdekat, status terjadwal, pelepasan otomatis ke dapur tiap menit) serta halaman tenant Pengaturan Pre-Order; ditambahkan deskripsi use case, mockup, Tahap 8, dan output nyata browser.</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DOC-10-006 — Rantai v3 (use case SRS v2): Modul 10 menuntaskan UC-07 (QRIS otomatis setelah checkout, gambar QRIS + penghitung mundur ≤ 15 menit, rincian split per tenant, percobaan ulang 3 kali saat gateway tidak merespons, QRIS baru saat kedaluwarsa, pemantauan status, batalkan pesanan yang belum dibayar); ditambahkan deskripsi use case, mockup, Tahap 8, dan output nyata browser.</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p>
      <w:pPr>
        <w:pStyle w:val="ListBody"/>
      </w:pPr>
      <w:r>
        <w:rPr>
          <w:rFonts w:ascii="Aptos" w:hAnsi="Aptos"/>
          <w:color w:val="1F2937"/>
          <w:sz w:val="19"/>
        </w:rPr>
        <w:t xml:space="preserve">DOC-11-006 — Subbagian "Mengapa Endpoint Webhook Dikecualikan dari CSRF?": ancaman CSRF, alasan webhook server-ke-server tidak dapat membawa token, lapis pengganti (HMAC raw body, fail-closed, idempoten), aturan penerapan, dan Output Nyata M11c (419 vs 401; 419 bila pengecualian dicabut).</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