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La Unidad de Titulación de la Carrera de Ingeniería en Electrónica y Comunicaciones de la Facultad de Ingeniería en Sistemas, Electrónica e Industrial, en sesión ordinaria realizada el 09 de mayo de 2024, vista la solicitud de mayo 07/2024, remitida por el/la Señor/ita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 VÍCTOR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quien solicita Prórroga para continuar desarrollando el Proyecto de Investigación, ACUERDA: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SUGERIR A CONSEJO DIRECTIVO DE FACULTAD, APRUEBE LA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PRÓRROGA PAGADA DE PRIMERA ACTUALIZACIÓN DE CONOCIMIENTOS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PARA EL PERIODO ACADÉMICO MARZO-AGOSTO 2024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DEL/LA SEÑOR/ITA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VICTOR HUGO ARROYO DELGADO,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DE PRIMERA ACTUALIZACIÓN DE CONOCIMIENTOS 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EN EL PERIODO ACADÉMICO A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0"/>
          <w:szCs w:val="20"/>
          <w:highlight w:val="white"/>
          <w:rtl w:val="0"/>
        </w:rPr>
        <w:t xml:space="preserve">BRIL 2023 - SEPTIEMBRE 2023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DE LA CARRERA DE INGENIERÍA EN ELECTRÓNICA Y COMUNICACIONES, PARA QUE CONTINÚE CON EL PROCESO DE TITULACIÓN BAJO EL TEMA “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SISTEMA BASADO EN MICROSERVICIOS PARA EL MONITOREO DE LA CALIDAD DEL AIRE EN LA CIUDAD DE ESMERALDAS ”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,CON BASE A LO ESTABLECIDO EN EL "REGLAMENTO PARA LA OBTENCIÓN DEL TÍTULO DE TERCER NIVEL, DE GRADO EN LA UNIVERSIDAD TÉCNICA DE AMBATO" 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theme" Target="theme/theme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