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B71A" w14:textId="052C69EE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DOCUMENTO </w:t>
      </w:r>
      <w:r w:rsidRPr="00095814">
        <w:rPr>
          <w:rFonts w:ascii="Arial" w:hAnsi="Arial" w:cs="Arial"/>
          <w:b/>
          <w:bCs/>
        </w:rPr>
        <w:t xml:space="preserve">COMPLEMENTAR PARA OUTPUTS </w:t>
      </w:r>
    </w:p>
    <w:p w14:paraId="2F5667C4" w14:textId="1660D702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MÓDULOS DE GERAÇÃO AUTOMÁTICA DE PGR (NR-01) E PCMSO (NR-07)  </w:t>
      </w:r>
    </w:p>
    <w:p w14:paraId="20D7A5D8" w14:textId="6FD1BD9F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>Sistema SIMDCCONR01 – Automatização de Laudos Periciais e Gestão Regulatória</w:t>
      </w:r>
    </w:p>
    <w:p w14:paraId="0C02089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7AC48CAE" w14:textId="0A3C6E8B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Data: 09 de abril de 2026  </w:t>
      </w:r>
    </w:p>
    <w:p w14:paraId="6155D988" w14:textId="31DDF094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Elaborado por: Luiz Eduardo Takenouchi Goulart (Perito Judicial e Idealizador do SIMDCCONR01)  </w:t>
      </w:r>
    </w:p>
    <w:p w14:paraId="35872D05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DD6E0E6" w14:textId="046DB068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  <w:b/>
          <w:bCs/>
        </w:rPr>
        <w:t>Objetivo:</w:t>
      </w:r>
      <w:r w:rsidRPr="00095814">
        <w:rPr>
          <w:rFonts w:ascii="Arial" w:hAnsi="Arial" w:cs="Arial"/>
        </w:rPr>
        <w:t xml:space="preserve"> Fornecer aos desenvolvedores o mapeamento completo, detalhado e explicativo entre todas as 160 questões do questionário SIMDCCONR01 e os documentos oficiais PGR e PCMSO, com </w:t>
      </w:r>
      <w:proofErr w:type="spellStart"/>
      <w:r w:rsidRPr="00095814">
        <w:rPr>
          <w:rFonts w:ascii="Arial" w:hAnsi="Arial" w:cs="Arial"/>
        </w:rPr>
        <w:t>templates</w:t>
      </w:r>
      <w:proofErr w:type="spellEnd"/>
      <w:r w:rsidRPr="00095814">
        <w:rPr>
          <w:rFonts w:ascii="Arial" w:hAnsi="Arial" w:cs="Arial"/>
        </w:rPr>
        <w:t xml:space="preserve"> totalmente fundamentados no referencial teórico restrito informado na documentação técnica do sistema.</w:t>
      </w:r>
    </w:p>
    <w:p w14:paraId="577EA75A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30E712B2" w14:textId="10A14F89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Princípio Fundamental (obrigatório):  </w:t>
      </w:r>
    </w:p>
    <w:p w14:paraId="2BC4F8D4" w14:textId="34ED9F05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Nenhum texto de saída pode ser gerado sem vinculação explícita a autor, obra, ano e constructo teórico. O sistema utiliza exclusivamente o referencial restrito da documentação:  </w:t>
      </w:r>
    </w:p>
    <w:p w14:paraId="3E8A9F6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Cultura Organizacional: Goulart (2025) – modelo FDAC.  </w:t>
      </w:r>
    </w:p>
    <w:p w14:paraId="671209B5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Clima Organizacional: </w:t>
      </w:r>
      <w:proofErr w:type="spellStart"/>
      <w:r w:rsidRPr="00095814">
        <w:rPr>
          <w:rFonts w:ascii="Arial" w:hAnsi="Arial" w:cs="Arial"/>
        </w:rPr>
        <w:t>Litwin</w:t>
      </w:r>
      <w:proofErr w:type="spellEnd"/>
      <w:r w:rsidRPr="00095814">
        <w:rPr>
          <w:rFonts w:ascii="Arial" w:hAnsi="Arial" w:cs="Arial"/>
        </w:rPr>
        <w:t xml:space="preserve"> &amp; </w:t>
      </w:r>
      <w:proofErr w:type="spellStart"/>
      <w:r w:rsidRPr="00095814">
        <w:rPr>
          <w:rFonts w:ascii="Arial" w:hAnsi="Arial" w:cs="Arial"/>
        </w:rPr>
        <w:t>Stringer</w:t>
      </w:r>
      <w:proofErr w:type="spellEnd"/>
      <w:r w:rsidRPr="00095814">
        <w:rPr>
          <w:rFonts w:ascii="Arial" w:hAnsi="Arial" w:cs="Arial"/>
        </w:rPr>
        <w:t xml:space="preserve"> (1968) e </w:t>
      </w:r>
      <w:proofErr w:type="spellStart"/>
      <w:r w:rsidRPr="00095814">
        <w:rPr>
          <w:rFonts w:ascii="Arial" w:hAnsi="Arial" w:cs="Arial"/>
        </w:rPr>
        <w:t>Coda</w:t>
      </w:r>
      <w:proofErr w:type="spellEnd"/>
      <w:r w:rsidRPr="00095814">
        <w:rPr>
          <w:rFonts w:ascii="Arial" w:hAnsi="Arial" w:cs="Arial"/>
        </w:rPr>
        <w:t xml:space="preserve"> (2009).  </w:t>
      </w:r>
    </w:p>
    <w:p w14:paraId="3A0B560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Ergonomia (NR-17): Hackman &amp; Oldham (1976).  </w:t>
      </w:r>
    </w:p>
    <w:p w14:paraId="5FF0D66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Demanda Psicológica e Controle: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 xml:space="preserve"> (1979).  </w:t>
      </w:r>
    </w:p>
    <w:p w14:paraId="355E61FF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Todos os itens NR-01, NR-12 e NR-17 são vinculados aos constructos teóricos acima.</w:t>
      </w:r>
    </w:p>
    <w:p w14:paraId="00E2440A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358E34B" w14:textId="56254C80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414557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B1EA0EF" w14:textId="20194D88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>1. BASE NORMATIVA E INTEGRAÇÃO AO SISTEMA</w:t>
      </w:r>
    </w:p>
    <w:p w14:paraId="0110B2F7" w14:textId="5331FDD9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O módulo atende integralmente à NR-01 e NR-07, utilizando os 160 itens do questionário em todas as análises. A NR-17 está integralmente contida nos itens do questionário (identificados por `risco_nr01_tipo = "Ergonômico"` ou bloco “NR-17 Ergonomia”), sendo extraída automaticamente para gerar inventário, matriz, plano de ação e nexo causal.</w:t>
      </w:r>
    </w:p>
    <w:p w14:paraId="78AE705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5718A5CD" w14:textId="4DA34D55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Mapeamento Geral (tabela `</w:t>
      </w:r>
      <w:proofErr w:type="spellStart"/>
      <w:r w:rsidRPr="00095814">
        <w:rPr>
          <w:rFonts w:ascii="Arial" w:hAnsi="Arial" w:cs="Arial"/>
        </w:rPr>
        <w:t>itens_questionario</w:t>
      </w:r>
      <w:proofErr w:type="spellEnd"/>
      <w:r w:rsidRPr="00095814">
        <w:rPr>
          <w:rFonts w:ascii="Arial" w:hAnsi="Arial" w:cs="Arial"/>
        </w:rPr>
        <w:t xml:space="preserve">`):  </w:t>
      </w:r>
    </w:p>
    <w:p w14:paraId="679D99F0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Todos os 160 itens devem conter os campos listados na versão anterior (</w:t>
      </w:r>
      <w:proofErr w:type="spellStart"/>
      <w:r w:rsidRPr="00095814">
        <w:rPr>
          <w:rFonts w:ascii="Arial" w:hAnsi="Arial" w:cs="Arial"/>
        </w:rPr>
        <w:t>dimensao</w:t>
      </w:r>
      <w:proofErr w:type="spellEnd"/>
      <w:r w:rsidRPr="00095814">
        <w:rPr>
          <w:rFonts w:ascii="Arial" w:hAnsi="Arial" w:cs="Arial"/>
        </w:rPr>
        <w:t xml:space="preserve">, vetor, bloco, pergunta, </w:t>
      </w:r>
      <w:proofErr w:type="spellStart"/>
      <w:r w:rsidRPr="00095814">
        <w:rPr>
          <w:rFonts w:ascii="Arial" w:hAnsi="Arial" w:cs="Arial"/>
        </w:rPr>
        <w:t>autor_base</w:t>
      </w:r>
      <w:proofErr w:type="spellEnd"/>
      <w:r w:rsidRPr="00095814">
        <w:rPr>
          <w:rFonts w:ascii="Arial" w:hAnsi="Arial" w:cs="Arial"/>
        </w:rPr>
        <w:t xml:space="preserve">, </w:t>
      </w:r>
      <w:proofErr w:type="spellStart"/>
      <w:r w:rsidRPr="00095814">
        <w:rPr>
          <w:rFonts w:ascii="Arial" w:hAnsi="Arial" w:cs="Arial"/>
        </w:rPr>
        <w:t>obra_base</w:t>
      </w:r>
      <w:proofErr w:type="spellEnd"/>
      <w:r w:rsidRPr="00095814">
        <w:rPr>
          <w:rFonts w:ascii="Arial" w:hAnsi="Arial" w:cs="Arial"/>
        </w:rPr>
        <w:t xml:space="preserve">, ano, constructo, risco_nr01_tipo, </w:t>
      </w:r>
      <w:proofErr w:type="spellStart"/>
      <w:r w:rsidRPr="00095814">
        <w:rPr>
          <w:rFonts w:ascii="Arial" w:hAnsi="Arial" w:cs="Arial"/>
        </w:rPr>
        <w:t>medida_controle_hierarquia</w:t>
      </w:r>
      <w:proofErr w:type="spellEnd"/>
      <w:r w:rsidRPr="00095814">
        <w:rPr>
          <w:rFonts w:ascii="Arial" w:hAnsi="Arial" w:cs="Arial"/>
        </w:rPr>
        <w:t xml:space="preserve">, </w:t>
      </w:r>
      <w:proofErr w:type="spellStart"/>
      <w:r w:rsidRPr="00095814">
        <w:rPr>
          <w:rFonts w:ascii="Arial" w:hAnsi="Arial" w:cs="Arial"/>
        </w:rPr>
        <w:t>prazo_recomendado</w:t>
      </w:r>
      <w:proofErr w:type="spellEnd"/>
      <w:r w:rsidRPr="00095814">
        <w:rPr>
          <w:rFonts w:ascii="Arial" w:hAnsi="Arial" w:cs="Arial"/>
        </w:rPr>
        <w:t xml:space="preserve">, </w:t>
      </w:r>
      <w:proofErr w:type="spellStart"/>
      <w:r w:rsidRPr="00095814">
        <w:rPr>
          <w:rFonts w:ascii="Arial" w:hAnsi="Arial" w:cs="Arial"/>
        </w:rPr>
        <w:t>nexo_pcmso</w:t>
      </w:r>
      <w:proofErr w:type="spellEnd"/>
      <w:r w:rsidRPr="00095814">
        <w:rPr>
          <w:rFonts w:ascii="Arial" w:hAnsi="Arial" w:cs="Arial"/>
        </w:rPr>
        <w:t>).</w:t>
      </w:r>
    </w:p>
    <w:p w14:paraId="24277EAE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A33A1AB" w14:textId="010C5323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Critério de Medição e Interpretação:  </w:t>
      </w:r>
    </w:p>
    <w:p w14:paraId="49CDE96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Escala </w:t>
      </w:r>
      <w:proofErr w:type="spellStart"/>
      <w:r w:rsidRPr="00095814">
        <w:rPr>
          <w:rFonts w:ascii="Arial" w:hAnsi="Arial" w:cs="Arial"/>
        </w:rPr>
        <w:t>Likert</w:t>
      </w:r>
      <w:proofErr w:type="spellEnd"/>
      <w:r w:rsidRPr="00095814">
        <w:rPr>
          <w:rFonts w:ascii="Arial" w:hAnsi="Arial" w:cs="Arial"/>
        </w:rPr>
        <w:t xml:space="preserve"> 1-5 convertida em:  </w:t>
      </w:r>
    </w:p>
    <w:p w14:paraId="7B7FC47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- 1.0-2.4 → Crítico  </w:t>
      </w:r>
    </w:p>
    <w:p w14:paraId="6FA033CF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- 2.5-3.4 → Atenção  </w:t>
      </w:r>
    </w:p>
    <w:p w14:paraId="6FF089B4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- 3.5-4.2 → Adequado  </w:t>
      </w:r>
    </w:p>
    <w:p w14:paraId="79DFA1D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- 4.3-5.0 → Forte  </w:t>
      </w:r>
    </w:p>
    <w:p w14:paraId="134FD0A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78037425" w14:textId="4077A154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Todas as médias, classificações, riscos e recomendações são calculadas com os 160 itens e vinculadas ao constructo teórico de cada questão.</w:t>
      </w:r>
    </w:p>
    <w:p w14:paraId="378BB07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4FDBD58" w14:textId="6FF4BE43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55592F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EF3D7D6" w14:textId="05C01A2D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2. TEMPLATE COMPLETO – PGR (NR-01)  </w:t>
      </w:r>
    </w:p>
    <w:p w14:paraId="3BABF8DF" w14:textId="1630B73B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Fundamentação Teórica Restrita: Baseado em Goulart (2025) para FDAC, </w:t>
      </w:r>
      <w:proofErr w:type="spellStart"/>
      <w:r w:rsidRPr="00095814">
        <w:rPr>
          <w:rFonts w:ascii="Arial" w:hAnsi="Arial" w:cs="Arial"/>
        </w:rPr>
        <w:t>Litwin</w:t>
      </w:r>
      <w:proofErr w:type="spellEnd"/>
      <w:r w:rsidRPr="00095814">
        <w:rPr>
          <w:rFonts w:ascii="Arial" w:hAnsi="Arial" w:cs="Arial"/>
        </w:rPr>
        <w:t xml:space="preserve"> &amp; </w:t>
      </w:r>
      <w:proofErr w:type="spellStart"/>
      <w:r w:rsidRPr="00095814">
        <w:rPr>
          <w:rFonts w:ascii="Arial" w:hAnsi="Arial" w:cs="Arial"/>
        </w:rPr>
        <w:t>Stringer</w:t>
      </w:r>
      <w:proofErr w:type="spellEnd"/>
      <w:r w:rsidRPr="00095814">
        <w:rPr>
          <w:rFonts w:ascii="Arial" w:hAnsi="Arial" w:cs="Arial"/>
        </w:rPr>
        <w:t xml:space="preserve"> (1968) e </w:t>
      </w:r>
      <w:proofErr w:type="spellStart"/>
      <w:r w:rsidRPr="00095814">
        <w:rPr>
          <w:rFonts w:ascii="Arial" w:hAnsi="Arial" w:cs="Arial"/>
        </w:rPr>
        <w:t>Coda</w:t>
      </w:r>
      <w:proofErr w:type="spellEnd"/>
      <w:r w:rsidRPr="00095814">
        <w:rPr>
          <w:rFonts w:ascii="Arial" w:hAnsi="Arial" w:cs="Arial"/>
        </w:rPr>
        <w:t xml:space="preserve"> (2009) para clima, Hackman &amp; Oldham (1976) para ergonomia cognitiva (NR-17) e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 xml:space="preserve"> (1979) para demanda psicológica.</w:t>
      </w:r>
    </w:p>
    <w:p w14:paraId="4F774B7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2369DD4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PROGRAMA DE GERENCIAMENTO DE RISCOS – PGR (NR-01)</w:t>
      </w:r>
    </w:p>
    <w:p w14:paraId="2F5A93C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Empresa: {{</w:t>
      </w:r>
      <w:proofErr w:type="spellStart"/>
      <w:r w:rsidRPr="00095814">
        <w:rPr>
          <w:rFonts w:ascii="Arial" w:hAnsi="Arial" w:cs="Arial"/>
        </w:rPr>
        <w:t>contratante_nome</w:t>
      </w:r>
      <w:proofErr w:type="spellEnd"/>
      <w:r w:rsidRPr="00095814">
        <w:rPr>
          <w:rFonts w:ascii="Arial" w:hAnsi="Arial" w:cs="Arial"/>
        </w:rPr>
        <w:t>}} | CNPJ: {{</w:t>
      </w:r>
      <w:proofErr w:type="spellStart"/>
      <w:r w:rsidRPr="00095814">
        <w:rPr>
          <w:rFonts w:ascii="Arial" w:hAnsi="Arial" w:cs="Arial"/>
        </w:rPr>
        <w:t>cnpj</w:t>
      </w:r>
      <w:proofErr w:type="spellEnd"/>
      <w:r w:rsidRPr="00095814">
        <w:rPr>
          <w:rFonts w:ascii="Arial" w:hAnsi="Arial" w:cs="Arial"/>
        </w:rPr>
        <w:t>}} | Data: {{</w:t>
      </w:r>
      <w:proofErr w:type="spellStart"/>
      <w:r w:rsidRPr="00095814">
        <w:rPr>
          <w:rFonts w:ascii="Arial" w:hAnsi="Arial" w:cs="Arial"/>
        </w:rPr>
        <w:t>data_geracao</w:t>
      </w:r>
      <w:proofErr w:type="spellEnd"/>
      <w:r w:rsidRPr="00095814">
        <w:rPr>
          <w:rFonts w:ascii="Arial" w:hAnsi="Arial" w:cs="Arial"/>
        </w:rPr>
        <w:t>}} | Base: SIMDCCONR01 (160/160 itens)</w:t>
      </w:r>
    </w:p>
    <w:p w14:paraId="40E33E5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68DB404F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1. INVENTÁRIO DE RISCOS OCUPACIONAIS</w:t>
      </w:r>
    </w:p>
    <w:p w14:paraId="3E3EF31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for risco in </w:t>
      </w:r>
      <w:proofErr w:type="spellStart"/>
      <w:r w:rsidRPr="00095814">
        <w:rPr>
          <w:rFonts w:ascii="Arial" w:hAnsi="Arial" w:cs="Arial"/>
        </w:rPr>
        <w:t>riscos_agrupados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10006B6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Risco: {{</w:t>
      </w:r>
      <w:proofErr w:type="spellStart"/>
      <w:r w:rsidRPr="00095814">
        <w:rPr>
          <w:rFonts w:ascii="Arial" w:hAnsi="Arial" w:cs="Arial"/>
        </w:rPr>
        <w:t>risco.dimensao</w:t>
      </w:r>
      <w:proofErr w:type="spellEnd"/>
      <w:r w:rsidRPr="00095814">
        <w:rPr>
          <w:rFonts w:ascii="Arial" w:hAnsi="Arial" w:cs="Arial"/>
        </w:rPr>
        <w:t>}} – {{</w:t>
      </w:r>
      <w:proofErr w:type="spellStart"/>
      <w:r w:rsidRPr="00095814">
        <w:rPr>
          <w:rFonts w:ascii="Arial" w:hAnsi="Arial" w:cs="Arial"/>
        </w:rPr>
        <w:t>risco.vetor</w:t>
      </w:r>
      <w:proofErr w:type="spellEnd"/>
      <w:r w:rsidRPr="00095814">
        <w:rPr>
          <w:rFonts w:ascii="Arial" w:hAnsi="Arial" w:cs="Arial"/>
        </w:rPr>
        <w:t>}}</w:t>
      </w:r>
    </w:p>
    <w:p w14:paraId="7B255B8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Origem: {{risco.risco_nr01_tipo}} (NR-01 / NR-17 / NR-12)</w:t>
      </w:r>
    </w:p>
    <w:p w14:paraId="63346530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Base Teórica: {{</w:t>
      </w:r>
      <w:proofErr w:type="spellStart"/>
      <w:r w:rsidRPr="00095814">
        <w:rPr>
          <w:rFonts w:ascii="Arial" w:hAnsi="Arial" w:cs="Arial"/>
        </w:rPr>
        <w:t>risco.autor_base</w:t>
      </w:r>
      <w:proofErr w:type="spellEnd"/>
      <w:r w:rsidRPr="00095814">
        <w:rPr>
          <w:rFonts w:ascii="Arial" w:hAnsi="Arial" w:cs="Arial"/>
        </w:rPr>
        <w:t>}} ({{</w:t>
      </w:r>
      <w:proofErr w:type="spellStart"/>
      <w:r w:rsidRPr="00095814">
        <w:rPr>
          <w:rFonts w:ascii="Arial" w:hAnsi="Arial" w:cs="Arial"/>
        </w:rPr>
        <w:t>risco.ano</w:t>
      </w:r>
      <w:proofErr w:type="spellEnd"/>
      <w:r w:rsidRPr="00095814">
        <w:rPr>
          <w:rFonts w:ascii="Arial" w:hAnsi="Arial" w:cs="Arial"/>
        </w:rPr>
        <w:t>}}), "{{</w:t>
      </w:r>
      <w:proofErr w:type="spellStart"/>
      <w:r w:rsidRPr="00095814">
        <w:rPr>
          <w:rFonts w:ascii="Arial" w:hAnsi="Arial" w:cs="Arial"/>
        </w:rPr>
        <w:t>risco.obra_base</w:t>
      </w:r>
      <w:proofErr w:type="spellEnd"/>
      <w:r w:rsidRPr="00095814">
        <w:rPr>
          <w:rFonts w:ascii="Arial" w:hAnsi="Arial" w:cs="Arial"/>
        </w:rPr>
        <w:t>}}" – Constructo: {{</w:t>
      </w:r>
      <w:proofErr w:type="spellStart"/>
      <w:r w:rsidRPr="00095814">
        <w:rPr>
          <w:rFonts w:ascii="Arial" w:hAnsi="Arial" w:cs="Arial"/>
        </w:rPr>
        <w:t>risco.constructo</w:t>
      </w:r>
      <w:proofErr w:type="spellEnd"/>
      <w:r w:rsidRPr="00095814">
        <w:rPr>
          <w:rFonts w:ascii="Arial" w:hAnsi="Arial" w:cs="Arial"/>
        </w:rPr>
        <w:t>}}</w:t>
      </w:r>
    </w:p>
    <w:p w14:paraId="6C1AD00E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Classificação Média: {{</w:t>
      </w:r>
      <w:proofErr w:type="spellStart"/>
      <w:r w:rsidRPr="00095814">
        <w:rPr>
          <w:rFonts w:ascii="Arial" w:hAnsi="Arial" w:cs="Arial"/>
        </w:rPr>
        <w:t>risco.valor_medio</w:t>
      </w:r>
      <w:proofErr w:type="spellEnd"/>
      <w:r w:rsidRPr="00095814">
        <w:rPr>
          <w:rFonts w:ascii="Arial" w:hAnsi="Arial" w:cs="Arial"/>
        </w:rPr>
        <w:t>}} ({{</w:t>
      </w:r>
      <w:proofErr w:type="spellStart"/>
      <w:r w:rsidRPr="00095814">
        <w:rPr>
          <w:rFonts w:ascii="Arial" w:hAnsi="Arial" w:cs="Arial"/>
        </w:rPr>
        <w:t>risco.classificacao</w:t>
      </w:r>
      <w:proofErr w:type="spellEnd"/>
      <w:r w:rsidRPr="00095814">
        <w:rPr>
          <w:rFonts w:ascii="Arial" w:hAnsi="Arial" w:cs="Arial"/>
        </w:rPr>
        <w:t>}})</w:t>
      </w:r>
    </w:p>
    <w:p w14:paraId="5BAC9F5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Probabilidade: {{</w:t>
      </w:r>
      <w:proofErr w:type="spellStart"/>
      <w:r w:rsidRPr="00095814">
        <w:rPr>
          <w:rFonts w:ascii="Arial" w:hAnsi="Arial" w:cs="Arial"/>
        </w:rPr>
        <w:t>risco.probabilidade</w:t>
      </w:r>
      <w:proofErr w:type="spellEnd"/>
      <w:r w:rsidRPr="00095814">
        <w:rPr>
          <w:rFonts w:ascii="Arial" w:hAnsi="Arial" w:cs="Arial"/>
        </w:rPr>
        <w:t>}} | Severidade: {{</w:t>
      </w:r>
      <w:proofErr w:type="spellStart"/>
      <w:r w:rsidRPr="00095814">
        <w:rPr>
          <w:rFonts w:ascii="Arial" w:hAnsi="Arial" w:cs="Arial"/>
        </w:rPr>
        <w:t>risco.severidade</w:t>
      </w:r>
      <w:proofErr w:type="spellEnd"/>
      <w:r w:rsidRPr="00095814">
        <w:rPr>
          <w:rFonts w:ascii="Arial" w:hAnsi="Arial" w:cs="Arial"/>
        </w:rPr>
        <w:t>}} | Nível de Risco: {{</w:t>
      </w:r>
      <w:proofErr w:type="spellStart"/>
      <w:r w:rsidRPr="00095814">
        <w:rPr>
          <w:rFonts w:ascii="Arial" w:hAnsi="Arial" w:cs="Arial"/>
        </w:rPr>
        <w:t>risco.nivel_risco</w:t>
      </w:r>
      <w:proofErr w:type="spellEnd"/>
      <w:r w:rsidRPr="00095814">
        <w:rPr>
          <w:rFonts w:ascii="Arial" w:hAnsi="Arial" w:cs="Arial"/>
        </w:rPr>
        <w:t>}}</w:t>
      </w:r>
    </w:p>
    <w:p w14:paraId="0868FEE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</w:t>
      </w:r>
      <w:proofErr w:type="spellStart"/>
      <w:r w:rsidRPr="00095814">
        <w:rPr>
          <w:rFonts w:ascii="Arial" w:hAnsi="Arial" w:cs="Arial"/>
        </w:rPr>
        <w:t>endfor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3F07D64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2AB382D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2. MATRIZ DE RISCO OFICIAL (5x5 – NR-01)</w:t>
      </w:r>
    </w:p>
    <w:p w14:paraId="43B0067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[Gráfico Matriz 5x5 gerado automaticamente a partir dos 160 itens]</w:t>
      </w:r>
    </w:p>
    <w:p w14:paraId="52F3F2B1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73B261BD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3. PLANO DE AÇÃO (Hierarquia NR-01)</w:t>
      </w:r>
    </w:p>
    <w:p w14:paraId="1D5C9004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for </w:t>
      </w:r>
      <w:proofErr w:type="spellStart"/>
      <w:r w:rsidRPr="00095814">
        <w:rPr>
          <w:rFonts w:ascii="Arial" w:hAnsi="Arial" w:cs="Arial"/>
        </w:rPr>
        <w:t>acao</w:t>
      </w:r>
      <w:proofErr w:type="spellEnd"/>
      <w:r w:rsidRPr="00095814">
        <w:rPr>
          <w:rFonts w:ascii="Arial" w:hAnsi="Arial" w:cs="Arial"/>
        </w:rPr>
        <w:t xml:space="preserve"> in </w:t>
      </w:r>
      <w:proofErr w:type="spellStart"/>
      <w:r w:rsidRPr="00095814">
        <w:rPr>
          <w:rFonts w:ascii="Arial" w:hAnsi="Arial" w:cs="Arial"/>
        </w:rPr>
        <w:t>plano_acao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030DA2C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Medida: {{</w:t>
      </w:r>
      <w:proofErr w:type="spellStart"/>
      <w:r w:rsidRPr="00095814">
        <w:rPr>
          <w:rFonts w:ascii="Arial" w:hAnsi="Arial" w:cs="Arial"/>
        </w:rPr>
        <w:t>acao.medida_controle_hierarquia</w:t>
      </w:r>
      <w:proofErr w:type="spellEnd"/>
      <w:r w:rsidRPr="00095814">
        <w:rPr>
          <w:rFonts w:ascii="Arial" w:hAnsi="Arial" w:cs="Arial"/>
        </w:rPr>
        <w:t>}} (fundamentada em Hackman &amp; Oldham, 1976 – NR-17)</w:t>
      </w:r>
    </w:p>
    <w:p w14:paraId="3D2A5E0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Responsável: {{</w:t>
      </w:r>
      <w:proofErr w:type="spellStart"/>
      <w:r w:rsidRPr="00095814">
        <w:rPr>
          <w:rFonts w:ascii="Arial" w:hAnsi="Arial" w:cs="Arial"/>
        </w:rPr>
        <w:t>acao.responsavel</w:t>
      </w:r>
      <w:proofErr w:type="spellEnd"/>
      <w:r w:rsidRPr="00095814">
        <w:rPr>
          <w:rFonts w:ascii="Arial" w:hAnsi="Arial" w:cs="Arial"/>
        </w:rPr>
        <w:t>}}</w:t>
      </w:r>
    </w:p>
    <w:p w14:paraId="1D66BD3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Prazo: {{</w:t>
      </w:r>
      <w:proofErr w:type="spellStart"/>
      <w:r w:rsidRPr="00095814">
        <w:rPr>
          <w:rFonts w:ascii="Arial" w:hAnsi="Arial" w:cs="Arial"/>
        </w:rPr>
        <w:t>acao.prazo_recomendado</w:t>
      </w:r>
      <w:proofErr w:type="spellEnd"/>
      <w:r w:rsidRPr="00095814">
        <w:rPr>
          <w:rFonts w:ascii="Arial" w:hAnsi="Arial" w:cs="Arial"/>
        </w:rPr>
        <w:t>}}</w:t>
      </w:r>
    </w:p>
    <w:p w14:paraId="0975C31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Indicador de Eficácia: Reaplicação completa dos 160 itens do SIMDCCONR01</w:t>
      </w:r>
    </w:p>
    <w:p w14:paraId="05C9461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</w:t>
      </w:r>
      <w:proofErr w:type="spellStart"/>
      <w:r w:rsidRPr="00095814">
        <w:rPr>
          <w:rFonts w:ascii="Arial" w:hAnsi="Arial" w:cs="Arial"/>
        </w:rPr>
        <w:t>endfor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1592647B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2C2575C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4. CRONOGRAMA DO PGR</w:t>
      </w:r>
    </w:p>
    <w:p w14:paraId="3424753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Curto prazo (0-3 meses): {{</w:t>
      </w:r>
      <w:proofErr w:type="spellStart"/>
      <w:r w:rsidRPr="00095814">
        <w:rPr>
          <w:rFonts w:ascii="Arial" w:hAnsi="Arial" w:cs="Arial"/>
        </w:rPr>
        <w:t>cronograma_curto</w:t>
      </w:r>
      <w:proofErr w:type="spellEnd"/>
      <w:r w:rsidRPr="00095814">
        <w:rPr>
          <w:rFonts w:ascii="Arial" w:hAnsi="Arial" w:cs="Arial"/>
        </w:rPr>
        <w:t>}}</w:t>
      </w:r>
    </w:p>
    <w:p w14:paraId="75B1869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Médio prazo (3-12 meses): {{</w:t>
      </w:r>
      <w:proofErr w:type="spellStart"/>
      <w:r w:rsidRPr="00095814">
        <w:rPr>
          <w:rFonts w:ascii="Arial" w:hAnsi="Arial" w:cs="Arial"/>
        </w:rPr>
        <w:t>cronograma_medio</w:t>
      </w:r>
      <w:proofErr w:type="spellEnd"/>
      <w:r w:rsidRPr="00095814">
        <w:rPr>
          <w:rFonts w:ascii="Arial" w:hAnsi="Arial" w:cs="Arial"/>
        </w:rPr>
        <w:t>}}</w:t>
      </w:r>
    </w:p>
    <w:p w14:paraId="0DB2064E" w14:textId="77777777" w:rsid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Longo prazo (&gt;12 meses): {{</w:t>
      </w:r>
      <w:proofErr w:type="spellStart"/>
      <w:r w:rsidRPr="00095814">
        <w:rPr>
          <w:rFonts w:ascii="Arial" w:hAnsi="Arial" w:cs="Arial"/>
        </w:rPr>
        <w:t>cronograma_longo</w:t>
      </w:r>
      <w:proofErr w:type="spellEnd"/>
      <w:r w:rsidRPr="00095814">
        <w:rPr>
          <w:rFonts w:ascii="Arial" w:hAnsi="Arial" w:cs="Arial"/>
        </w:rPr>
        <w:t>}}</w:t>
      </w:r>
    </w:p>
    <w:p w14:paraId="39F7755B" w14:textId="77777777" w:rsid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CA2F689" w14:textId="6C75A74C" w:rsidR="00095814" w:rsidRPr="00095814" w:rsidRDefault="00095814" w:rsidP="00095814">
      <w:pPr>
        <w:spacing w:after="0" w:line="240" w:lineRule="auto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3. TEMPLATE COMPLETO – PCMSO (NR-07)  </w:t>
      </w:r>
    </w:p>
    <w:p w14:paraId="62D88EFA" w14:textId="2132286A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Fundamentação Teórica Restrita: Baseado em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 xml:space="preserve"> (1979) para demanda psicológica e controle, Goulart (2025) para FDAC, </w:t>
      </w:r>
      <w:proofErr w:type="spellStart"/>
      <w:r w:rsidRPr="00095814">
        <w:rPr>
          <w:rFonts w:ascii="Arial" w:hAnsi="Arial" w:cs="Arial"/>
        </w:rPr>
        <w:t>Litwin</w:t>
      </w:r>
      <w:proofErr w:type="spellEnd"/>
      <w:r w:rsidRPr="00095814">
        <w:rPr>
          <w:rFonts w:ascii="Arial" w:hAnsi="Arial" w:cs="Arial"/>
        </w:rPr>
        <w:t xml:space="preserve"> &amp; </w:t>
      </w:r>
      <w:proofErr w:type="spellStart"/>
      <w:r w:rsidRPr="00095814">
        <w:rPr>
          <w:rFonts w:ascii="Arial" w:hAnsi="Arial" w:cs="Arial"/>
        </w:rPr>
        <w:t>Stringer</w:t>
      </w:r>
      <w:proofErr w:type="spellEnd"/>
      <w:r w:rsidRPr="00095814">
        <w:rPr>
          <w:rFonts w:ascii="Arial" w:hAnsi="Arial" w:cs="Arial"/>
        </w:rPr>
        <w:t xml:space="preserve"> (1968) e </w:t>
      </w:r>
      <w:proofErr w:type="spellStart"/>
      <w:r w:rsidRPr="00095814">
        <w:rPr>
          <w:rFonts w:ascii="Arial" w:hAnsi="Arial" w:cs="Arial"/>
        </w:rPr>
        <w:t>Coda</w:t>
      </w:r>
      <w:proofErr w:type="spellEnd"/>
      <w:r w:rsidRPr="00095814">
        <w:rPr>
          <w:rFonts w:ascii="Arial" w:hAnsi="Arial" w:cs="Arial"/>
        </w:rPr>
        <w:t xml:space="preserve"> (2009) para clima, e Hackman &amp; Oldham (1976) para ergonomia cognitiva.</w:t>
      </w:r>
    </w:p>
    <w:p w14:paraId="28F2094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2202EAA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PROGRAMA DE CONTROLE MÉDICO DE SAÚDE OCUPACIONAL – PCMSO (NR-07)</w:t>
      </w:r>
    </w:p>
    <w:p w14:paraId="77AAF00B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Empresa: {{</w:t>
      </w:r>
      <w:proofErr w:type="spellStart"/>
      <w:r w:rsidRPr="00095814">
        <w:rPr>
          <w:rFonts w:ascii="Arial" w:hAnsi="Arial" w:cs="Arial"/>
        </w:rPr>
        <w:t>contratante_nome</w:t>
      </w:r>
      <w:proofErr w:type="spellEnd"/>
      <w:r w:rsidRPr="00095814">
        <w:rPr>
          <w:rFonts w:ascii="Arial" w:hAnsi="Arial" w:cs="Arial"/>
        </w:rPr>
        <w:t>}} | Período: {{</w:t>
      </w:r>
      <w:proofErr w:type="spellStart"/>
      <w:r w:rsidRPr="00095814">
        <w:rPr>
          <w:rFonts w:ascii="Arial" w:hAnsi="Arial" w:cs="Arial"/>
        </w:rPr>
        <w:t>ano_referencia</w:t>
      </w:r>
      <w:proofErr w:type="spellEnd"/>
      <w:r w:rsidRPr="00095814">
        <w:rPr>
          <w:rFonts w:ascii="Arial" w:hAnsi="Arial" w:cs="Arial"/>
        </w:rPr>
        <w:t>}} | Base: SIMDCCONR01 (160/160 itens)</w:t>
      </w:r>
    </w:p>
    <w:p w14:paraId="73C7D05A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5390FE5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1. GRUPOS DE RISCO PSICOSSOCIAL</w:t>
      </w:r>
    </w:p>
    <w:p w14:paraId="7C7AFE63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for grupo in </w:t>
      </w:r>
      <w:proofErr w:type="spellStart"/>
      <w:r w:rsidRPr="00095814">
        <w:rPr>
          <w:rFonts w:ascii="Arial" w:hAnsi="Arial" w:cs="Arial"/>
        </w:rPr>
        <w:t>grupos_risco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157E1C8B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Dimensão: {{</w:t>
      </w:r>
      <w:proofErr w:type="spellStart"/>
      <w:r w:rsidRPr="00095814">
        <w:rPr>
          <w:rFonts w:ascii="Arial" w:hAnsi="Arial" w:cs="Arial"/>
        </w:rPr>
        <w:t>grupo.dimensao</w:t>
      </w:r>
      <w:proofErr w:type="spellEnd"/>
      <w:r w:rsidRPr="00095814">
        <w:rPr>
          <w:rFonts w:ascii="Arial" w:hAnsi="Arial" w:cs="Arial"/>
        </w:rPr>
        <w:t>}} | Vetor: {{</w:t>
      </w:r>
      <w:proofErr w:type="spellStart"/>
      <w:r w:rsidRPr="00095814">
        <w:rPr>
          <w:rFonts w:ascii="Arial" w:hAnsi="Arial" w:cs="Arial"/>
        </w:rPr>
        <w:t>grupo.vetor</w:t>
      </w:r>
      <w:proofErr w:type="spellEnd"/>
      <w:r w:rsidRPr="00095814">
        <w:rPr>
          <w:rFonts w:ascii="Arial" w:hAnsi="Arial" w:cs="Arial"/>
        </w:rPr>
        <w:t>}}</w:t>
      </w:r>
    </w:p>
    <w:p w14:paraId="2219CEA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Classificação: {{</w:t>
      </w:r>
      <w:proofErr w:type="spellStart"/>
      <w:r w:rsidRPr="00095814">
        <w:rPr>
          <w:rFonts w:ascii="Arial" w:hAnsi="Arial" w:cs="Arial"/>
        </w:rPr>
        <w:t>grupo.classificacao</w:t>
      </w:r>
      <w:proofErr w:type="spellEnd"/>
      <w:r w:rsidRPr="00095814">
        <w:rPr>
          <w:rFonts w:ascii="Arial" w:hAnsi="Arial" w:cs="Arial"/>
        </w:rPr>
        <w:t>}} | Nível: {{</w:t>
      </w:r>
      <w:proofErr w:type="spellStart"/>
      <w:r w:rsidRPr="00095814">
        <w:rPr>
          <w:rFonts w:ascii="Arial" w:hAnsi="Arial" w:cs="Arial"/>
        </w:rPr>
        <w:t>grupo.nivel_risco</w:t>
      </w:r>
      <w:proofErr w:type="spellEnd"/>
      <w:r w:rsidRPr="00095814">
        <w:rPr>
          <w:rFonts w:ascii="Arial" w:hAnsi="Arial" w:cs="Arial"/>
        </w:rPr>
        <w:t>}}</w:t>
      </w:r>
    </w:p>
    <w:p w14:paraId="53197B17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Nexo Técnico Causal: {{</w:t>
      </w:r>
      <w:proofErr w:type="spellStart"/>
      <w:r w:rsidRPr="00095814">
        <w:rPr>
          <w:rFonts w:ascii="Arial" w:hAnsi="Arial" w:cs="Arial"/>
        </w:rPr>
        <w:t>grupo.nexo_pcmso</w:t>
      </w:r>
      <w:proofErr w:type="spellEnd"/>
      <w:r w:rsidRPr="00095814">
        <w:rPr>
          <w:rFonts w:ascii="Arial" w:hAnsi="Arial" w:cs="Arial"/>
        </w:rPr>
        <w:t xml:space="preserve">}} (fundamentado em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>, 1979)</w:t>
      </w:r>
    </w:p>
    <w:p w14:paraId="1393F175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Base Teórica: {{</w:t>
      </w:r>
      <w:proofErr w:type="spellStart"/>
      <w:r w:rsidRPr="00095814">
        <w:rPr>
          <w:rFonts w:ascii="Arial" w:hAnsi="Arial" w:cs="Arial"/>
        </w:rPr>
        <w:t>grupo.autor_base</w:t>
      </w:r>
      <w:proofErr w:type="spellEnd"/>
      <w:r w:rsidRPr="00095814">
        <w:rPr>
          <w:rFonts w:ascii="Arial" w:hAnsi="Arial" w:cs="Arial"/>
        </w:rPr>
        <w:t>}} ({{</w:t>
      </w:r>
      <w:proofErr w:type="spellStart"/>
      <w:r w:rsidRPr="00095814">
        <w:rPr>
          <w:rFonts w:ascii="Arial" w:hAnsi="Arial" w:cs="Arial"/>
        </w:rPr>
        <w:t>grupo.ano</w:t>
      </w:r>
      <w:proofErr w:type="spellEnd"/>
      <w:r w:rsidRPr="00095814">
        <w:rPr>
          <w:rFonts w:ascii="Arial" w:hAnsi="Arial" w:cs="Arial"/>
        </w:rPr>
        <w:t>}}), "{{</w:t>
      </w:r>
      <w:proofErr w:type="spellStart"/>
      <w:r w:rsidRPr="00095814">
        <w:rPr>
          <w:rFonts w:ascii="Arial" w:hAnsi="Arial" w:cs="Arial"/>
        </w:rPr>
        <w:t>grupo.obra_base</w:t>
      </w:r>
      <w:proofErr w:type="spellEnd"/>
      <w:r w:rsidRPr="00095814">
        <w:rPr>
          <w:rFonts w:ascii="Arial" w:hAnsi="Arial" w:cs="Arial"/>
        </w:rPr>
        <w:t>}}" – Constructo: {{</w:t>
      </w:r>
      <w:proofErr w:type="spellStart"/>
      <w:r w:rsidRPr="00095814">
        <w:rPr>
          <w:rFonts w:ascii="Arial" w:hAnsi="Arial" w:cs="Arial"/>
        </w:rPr>
        <w:t>grupo.constructo</w:t>
      </w:r>
      <w:proofErr w:type="spellEnd"/>
      <w:r w:rsidRPr="00095814">
        <w:rPr>
          <w:rFonts w:ascii="Arial" w:hAnsi="Arial" w:cs="Arial"/>
        </w:rPr>
        <w:t>}}</w:t>
      </w:r>
    </w:p>
    <w:p w14:paraId="2DA2CFA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{% </w:t>
      </w:r>
      <w:proofErr w:type="spellStart"/>
      <w:r w:rsidRPr="00095814">
        <w:rPr>
          <w:rFonts w:ascii="Arial" w:hAnsi="Arial" w:cs="Arial"/>
        </w:rPr>
        <w:t>endfor</w:t>
      </w:r>
      <w:proofErr w:type="spellEnd"/>
      <w:r w:rsidRPr="00095814">
        <w:rPr>
          <w:rFonts w:ascii="Arial" w:hAnsi="Arial" w:cs="Arial"/>
        </w:rPr>
        <w:t xml:space="preserve"> %}</w:t>
      </w:r>
    </w:p>
    <w:p w14:paraId="5A04EB5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9C5793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2. PLANO DE AÇÃO ANUAL</w:t>
      </w:r>
    </w:p>
    <w:p w14:paraId="77C8228C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Avaliação clínica semestral para grupos de risco elevado (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>, 1979)</w:t>
      </w:r>
    </w:p>
    <w:p w14:paraId="53E24075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Triagem psicológica direcionada (itens com classificação “Crítico”)</w:t>
      </w:r>
    </w:p>
    <w:p w14:paraId="29CF9C0D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Monitoramento de sinais neurovegetativos e impacto funcional (Hackman &amp; Oldham, 1976 – NR-17)</w:t>
      </w:r>
    </w:p>
    <w:p w14:paraId="1CA26682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1D433D2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3. INDICADORES EPIDEMIOLÓGICOS (NR-07)</w:t>
      </w:r>
    </w:p>
    <w:p w14:paraId="378DD64A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Taxa de risco por setor/departamento (base 160 itens)</w:t>
      </w:r>
    </w:p>
    <w:p w14:paraId="5762958B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Evolução temporal (comparativo semestral)</w:t>
      </w:r>
    </w:p>
    <w:p w14:paraId="7C0FEC54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Tendência de adoecimento psicossocial</w:t>
      </w:r>
    </w:p>
    <w:p w14:paraId="09EA55DE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- Afastamentos e queixas relacionadas</w:t>
      </w:r>
    </w:p>
    <w:p w14:paraId="7DECE928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04B996A0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4. ANEXO INDIVIDUAL</w:t>
      </w:r>
    </w:p>
    <w:p w14:paraId="5ED42B9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Colaborador: {{</w:t>
      </w:r>
      <w:proofErr w:type="spellStart"/>
      <w:r w:rsidRPr="00095814">
        <w:rPr>
          <w:rFonts w:ascii="Arial" w:hAnsi="Arial" w:cs="Arial"/>
        </w:rPr>
        <w:t>id_colaborador</w:t>
      </w:r>
      <w:proofErr w:type="spellEnd"/>
      <w:r w:rsidRPr="00095814">
        <w:rPr>
          <w:rFonts w:ascii="Arial" w:hAnsi="Arial" w:cs="Arial"/>
        </w:rPr>
        <w:t>}}</w:t>
      </w:r>
    </w:p>
    <w:p w14:paraId="0C99849F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Síntese baseada nos 160 itens respondidos</w:t>
      </w:r>
    </w:p>
    <w:p w14:paraId="78817AC9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Recomendação Clínica Ocupacional: {{</w:t>
      </w:r>
      <w:proofErr w:type="spellStart"/>
      <w:r w:rsidRPr="00095814">
        <w:rPr>
          <w:rFonts w:ascii="Arial" w:hAnsi="Arial" w:cs="Arial"/>
        </w:rPr>
        <w:t>recomendacao_medica</w:t>
      </w:r>
      <w:proofErr w:type="spellEnd"/>
      <w:r w:rsidRPr="00095814">
        <w:rPr>
          <w:rFonts w:ascii="Arial" w:hAnsi="Arial" w:cs="Arial"/>
        </w:rPr>
        <w:t xml:space="preserve">}} (fundamentada em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>, 1979)</w:t>
      </w:r>
    </w:p>
    <w:p w14:paraId="34796A93" w14:textId="77777777" w:rsidR="00095814" w:rsidRDefault="00095814" w:rsidP="00095814">
      <w:pPr>
        <w:spacing w:after="0" w:line="240" w:lineRule="auto"/>
        <w:rPr>
          <w:rFonts w:ascii="Arial" w:hAnsi="Arial" w:cs="Arial"/>
        </w:rPr>
      </w:pPr>
      <w:r w:rsidRPr="00095814">
        <w:rPr>
          <w:rFonts w:ascii="Arial" w:hAnsi="Arial" w:cs="Arial"/>
        </w:rPr>
        <w:t>Registro obrigatório no PCMSO e prontuário ocupacional.</w:t>
      </w:r>
    </w:p>
    <w:p w14:paraId="305F361D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p w14:paraId="4FABCE33" w14:textId="30FA6A49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>4. ORIENTAÇÕES TÉCNICAS PARA DESENVOLVEDORES</w:t>
      </w:r>
    </w:p>
    <w:p w14:paraId="0D12684D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638096C" w14:textId="6D3DC84E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4.1 Banco de Dados  </w:t>
      </w:r>
    </w:p>
    <w:p w14:paraId="7ECE3797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Carregar os 160 itens com todos os campos acima. Criar </w:t>
      </w:r>
      <w:proofErr w:type="spellStart"/>
      <w:r w:rsidRPr="00095814">
        <w:rPr>
          <w:rFonts w:ascii="Arial" w:hAnsi="Arial" w:cs="Arial"/>
        </w:rPr>
        <w:t>views</w:t>
      </w:r>
      <w:proofErr w:type="spellEnd"/>
      <w:r w:rsidRPr="00095814">
        <w:rPr>
          <w:rFonts w:ascii="Arial" w:hAnsi="Arial" w:cs="Arial"/>
        </w:rPr>
        <w:t xml:space="preserve"> para consolidação automática.</w:t>
      </w:r>
    </w:p>
    <w:p w14:paraId="4837A75F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1A1CC9BF" w14:textId="465ACBED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4.2 Motor de Processamento  </w:t>
      </w:r>
    </w:p>
    <w:p w14:paraId="5D745CE2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Processar os 160 itens em todas as análises. Gerar interpretação, risco e recomendação com vínculo obrigatório ao constructo teórico restrito.</w:t>
      </w:r>
    </w:p>
    <w:p w14:paraId="541C224B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565C6911" w14:textId="2BF413A0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4.3 Geração de Documentos  </w:t>
      </w:r>
    </w:p>
    <w:p w14:paraId="32379881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Todo output deve declarar “Base: SIMDCCONR01 (160/160 itens)” e citar o referencial teórico restrito.</w:t>
      </w:r>
    </w:p>
    <w:p w14:paraId="19E252D9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1A911B56" w14:textId="3927A82D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4.4 Dashboard e Alertas  </w:t>
      </w:r>
    </w:p>
    <w:p w14:paraId="4BD2772D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Gráficos e alertas baseados nos 160 itens.</w:t>
      </w:r>
    </w:p>
    <w:p w14:paraId="6432D761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0D7DA2DF" w14:textId="47E3F19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4.5 Trilhas de Auditoria  </w:t>
      </w:r>
    </w:p>
    <w:p w14:paraId="27DDF771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Log completo de todos os cálculos.</w:t>
      </w:r>
    </w:p>
    <w:p w14:paraId="096A66E5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51FA258C" w14:textId="2331CF75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047F5B35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24DAB096" w14:textId="11CC470B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>5. IMPLEMENTAÇÃO EXECUTADA</w:t>
      </w:r>
    </w:p>
    <w:p w14:paraId="74B52409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64345A4A" w14:textId="60E4A77E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Fase 1 – Módulo PGR Completo (NR-01)  </w:t>
      </w:r>
    </w:p>
    <w:p w14:paraId="4778ADD0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Implementado com mapeamento dos 160 itens (incluindo NR-17) para Inventário, Matriz 5x5, Plano de Ação e Cronograma.</w:t>
      </w:r>
    </w:p>
    <w:p w14:paraId="7BB0D1BC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496B1CF2" w14:textId="218CE328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Fase 2 – Módulo PCMSO (NR-07)  </w:t>
      </w:r>
    </w:p>
    <w:p w14:paraId="2D424F4D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Implementado com indicadores epidemiológicos, nexo causal e anexos individuais.</w:t>
      </w:r>
    </w:p>
    <w:p w14:paraId="63E8F937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7BAD8E51" w14:textId="1E9ECE09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 xml:space="preserve">Fase 3 – Camadas de Governança, Auditoria e Maturidade  </w:t>
      </w:r>
    </w:p>
    <w:p w14:paraId="4C39A360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>Implementado com trilha de auditoria, alertas e evidências automáticas.</w:t>
      </w:r>
    </w:p>
    <w:p w14:paraId="5A3D6DB8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01A70F81" w14:textId="48F09066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07C365F5" w14:textId="64CE2046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95814">
        <w:rPr>
          <w:rFonts w:ascii="Arial" w:hAnsi="Arial" w:cs="Arial"/>
          <w:b/>
          <w:bCs/>
        </w:rPr>
        <w:t>6. RESULTADO FINAL</w:t>
      </w:r>
    </w:p>
    <w:p w14:paraId="6E2B2614" w14:textId="77777777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</w:p>
    <w:p w14:paraId="0860B611" w14:textId="65E2F015" w:rsidR="00095814" w:rsidRPr="00095814" w:rsidRDefault="00095814" w:rsidP="00095814">
      <w:pPr>
        <w:spacing w:after="0" w:line="240" w:lineRule="auto"/>
        <w:jc w:val="both"/>
        <w:rPr>
          <w:rFonts w:ascii="Arial" w:hAnsi="Arial" w:cs="Arial"/>
        </w:rPr>
      </w:pPr>
      <w:r w:rsidRPr="00095814">
        <w:rPr>
          <w:rFonts w:ascii="Arial" w:hAnsi="Arial" w:cs="Arial"/>
        </w:rPr>
        <w:t xml:space="preserve">O SIMDCCONR01 é agora um sistema completo de gestão regulatória, que utiliza todos os 160 itens do questionário com rastreabilidade total e embasamento teórico restrito (Goulart 2025, </w:t>
      </w:r>
      <w:proofErr w:type="spellStart"/>
      <w:r w:rsidRPr="00095814">
        <w:rPr>
          <w:rFonts w:ascii="Arial" w:hAnsi="Arial" w:cs="Arial"/>
        </w:rPr>
        <w:t>Litwin</w:t>
      </w:r>
      <w:proofErr w:type="spellEnd"/>
      <w:r w:rsidRPr="00095814">
        <w:rPr>
          <w:rFonts w:ascii="Arial" w:hAnsi="Arial" w:cs="Arial"/>
        </w:rPr>
        <w:t xml:space="preserve"> &amp; </w:t>
      </w:r>
      <w:proofErr w:type="spellStart"/>
      <w:r w:rsidRPr="00095814">
        <w:rPr>
          <w:rFonts w:ascii="Arial" w:hAnsi="Arial" w:cs="Arial"/>
        </w:rPr>
        <w:t>Stringer</w:t>
      </w:r>
      <w:proofErr w:type="spellEnd"/>
      <w:r w:rsidRPr="00095814">
        <w:rPr>
          <w:rFonts w:ascii="Arial" w:hAnsi="Arial" w:cs="Arial"/>
        </w:rPr>
        <w:t xml:space="preserve"> 1968, </w:t>
      </w:r>
      <w:proofErr w:type="spellStart"/>
      <w:r w:rsidRPr="00095814">
        <w:rPr>
          <w:rFonts w:ascii="Arial" w:hAnsi="Arial" w:cs="Arial"/>
        </w:rPr>
        <w:t>Coda</w:t>
      </w:r>
      <w:proofErr w:type="spellEnd"/>
      <w:r w:rsidRPr="00095814">
        <w:rPr>
          <w:rFonts w:ascii="Arial" w:hAnsi="Arial" w:cs="Arial"/>
        </w:rPr>
        <w:t xml:space="preserve"> 2009, Hackman &amp; Oldham 1976, </w:t>
      </w:r>
      <w:proofErr w:type="spellStart"/>
      <w:r w:rsidRPr="00095814">
        <w:rPr>
          <w:rFonts w:ascii="Arial" w:hAnsi="Arial" w:cs="Arial"/>
        </w:rPr>
        <w:t>Karasek</w:t>
      </w:r>
      <w:proofErr w:type="spellEnd"/>
      <w:r w:rsidRPr="00095814">
        <w:rPr>
          <w:rFonts w:ascii="Arial" w:hAnsi="Arial" w:cs="Arial"/>
        </w:rPr>
        <w:t xml:space="preserve"> 1979), produzindo laudos periciais e recomendações inquestionáveis para PGR e PCMSO.</w:t>
      </w:r>
    </w:p>
    <w:p w14:paraId="7304A826" w14:textId="77777777" w:rsidR="00095814" w:rsidRPr="00095814" w:rsidRDefault="00095814" w:rsidP="00095814">
      <w:pPr>
        <w:spacing w:after="0" w:line="240" w:lineRule="auto"/>
        <w:rPr>
          <w:rFonts w:ascii="Arial" w:hAnsi="Arial" w:cs="Arial"/>
        </w:rPr>
      </w:pPr>
    </w:p>
    <w:sectPr w:rsidR="00095814" w:rsidRPr="00095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14"/>
    <w:rsid w:val="00095814"/>
    <w:rsid w:val="00D6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8963"/>
  <w15:chartTrackingRefBased/>
  <w15:docId w15:val="{6F175368-BE12-4A21-92C2-80922712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8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81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8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8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8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81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81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1015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Takenouchi Goulart</dc:creator>
  <cp:keywords/>
  <dc:description/>
  <cp:lastModifiedBy>Luiz Eduardo Takenouchi Goulart</cp:lastModifiedBy>
  <cp:revision>1</cp:revision>
  <dcterms:created xsi:type="dcterms:W3CDTF">2026-04-09T17:47:00Z</dcterms:created>
  <dcterms:modified xsi:type="dcterms:W3CDTF">2026-04-09T17:57:00Z</dcterms:modified>
</cp:coreProperties>
</file>