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DAZN Bet AI Decision Platform</w:t>
      </w:r>
    </w:p>
    <w:p>
      <w:pPr>
        <w:pStyle w:val="Heading1"/>
      </w:pPr>
      <w:r>
        <w:t>Report delle implementazioni</w:t>
      </w:r>
    </w:p>
    <w:p>
      <w:pPr>
        <w:jc w:val="right"/>
      </w:pPr>
      <w:r>
        <w:t>20 luglio 2026</w:t>
      </w:r>
    </w:p>
    <w:p>
      <w:r>
        <w:t>Versione piattaforma: commit 1dc3a39</w:t>
      </w:r>
    </w:p>
    <w:p>
      <w:r>
        <w:t>Destinatario: Management DAZN Bet</w:t>
      </w:r>
    </w:p>
    <w:p>
      <w:pPr>
        <w:pStyle w:val="Heading1"/>
      </w:pPr>
      <w:r>
        <w:t>1. Obiettivo del progetto</w:t>
      </w:r>
    </w:p>
    <w:p>
      <w:r>
        <w:t>La piattaforma DAZN Bet AI Decision Platform trasforma i dati reali provenienti dal sistema Exalogic in indicatori affidabili, alert spiegabili, azioni prioritarie e futura risposta alla domanda "Cosa devo fare adesso?".</w:t>
      </w:r>
    </w:p>
    <w:p>
      <w:pPr>
        <w:pStyle w:val="Heading1"/>
      </w:pPr>
      <w:r>
        <w:t>2. Situazione iniziale</w:t>
      </w:r>
    </w:p>
    <w:p>
      <w:r>
        <w:t>Prima di questo intervento la piattaforma disponeva già di dati reali di rete commerciale (giugno 2026), dati dei PVR, dati dei giocatori, ticket scommesse, dashboard, analytics, classifiche e diagnostica funzionanti.</w:t>
      </w:r>
    </w:p>
    <w:p>
      <w:r>
        <w:t>Tuttavia gli alert e il briefing erano generati da logiche separate e non coordinate. Alcuni valori mostrati erano fissi o calcolati con formule non documentate.</w:t>
      </w:r>
    </w:p>
    <w:p>
      <w:r>
        <w:t>Inoltre 106 righe storiche sospette sono presenti nel database (giocatori aggregati il 30 giugno), non ancora pulite. Gli alert sui giocatori sono mantenuti disattivati finché i dati non saranno verificati.</w:t>
      </w:r>
    </w:p>
    <w:p>
      <w:pPr>
        <w:pStyle w:val="Heading1"/>
      </w:pPr>
      <w:r>
        <w:t>3. Implementazioni realizzate il 20 luglio 2026</w:t>
      </w:r>
    </w:p>
    <w:p>
      <w:r>
        <w:rPr>
          <w:b/>
        </w:rPr>
        <w:t xml:space="preserve">Quality gate: </w:t>
      </w:r>
      <w:r>
        <w:t>Controllo qualità dei dati: rifiuta date non valide, valori NaN/infiniti, valori economici negativi, giocatori attivi non interi. Rimuove duplicati. Separa gli errori dai dati validi.</w:t>
      </w:r>
    </w:p>
    <w:p>
      <w:r>
        <w:rPr>
          <w:b/>
        </w:rPr>
        <w:t xml:space="preserve">Baseline mobile: </w:t>
      </w:r>
      <w:r>
        <w:t>Per ogni giorno viene calcolata una baseline basata esclusivamente sui giorni precedenti (14 giorni di finestra, minimo 7 per affidabilità). Il giorno corrente non è mai incluso.</w:t>
      </w:r>
    </w:p>
    <w:p>
      <w:r>
        <w:rPr>
          <w:b/>
        </w:rPr>
        <w:t xml:space="preserve">Feature calcolate: </w:t>
      </w:r>
      <w:r>
        <w:t>Payout %, Delta % (variazione vs baseline), Z-score (scostamento statistico), Confidence (affidabilità 0-100%). Il payout è nullo quando Bet = 0 (nessuna divisione per zero).</w:t>
      </w:r>
    </w:p>
    <w:p>
      <w:r>
        <w:rPr>
          <w:b/>
        </w:rPr>
        <w:t xml:space="preserve">Alert Rake negativo: </w:t>
      </w:r>
      <w:r>
        <w:t>Fatto contabile diretto. Severità alta. Non richiede baseline. Azione: aprire drill-down per PVR e giocatori coinvolti.</w:t>
      </w:r>
    </w:p>
    <w:p>
      <w:r>
        <w:rPr>
          <w:b/>
        </w:rPr>
        <w:t xml:space="preserve">Alert Calo Rake: </w:t>
      </w:r>
      <w:r>
        <w:t>Solo quando il Rake diminuisce (mai su aumenti). Due livelli: warning (≥20%) e critico (≥35%). Richiede baseline sufficiente.</w:t>
      </w:r>
    </w:p>
    <w:p>
      <w:r>
        <w:rPr>
          <w:b/>
        </w:rPr>
        <w:t xml:space="preserve">Alert Payout anomalo: </w:t>
      </w:r>
      <w:r>
        <w:t>Superamento soglie definite o scostamento statistico. Due livelli.</w:t>
      </w:r>
    </w:p>
    <w:p>
      <w:r>
        <w:rPr>
          <w:b/>
        </w:rPr>
        <w:t xml:space="preserve">ID deterministici: </w:t>
      </w:r>
      <w:r>
        <w:t>Stesso input produce sempre stesso identificativo. Nessun contatore o timestamp.</w:t>
      </w:r>
    </w:p>
    <w:p>
      <w:r>
        <w:rPr>
          <w:b/>
        </w:rPr>
        <w:t xml:space="preserve">Coda decisionale: </w:t>
      </w:r>
      <w:r>
        <w:t>Deduplicata per tipo, ordinata per priorità, limitata ai 10 più importanti.</w:t>
      </w:r>
    </w:p>
    <w:p>
      <w:r>
        <w:rPr>
          <w:b/>
        </w:rPr>
        <w:t xml:space="preserve">Integrazione Dashboard: </w:t>
      </w:r>
      <w:r>
        <w:t>Alert e Briefing provengono ora dallo stesso motore di preprocessing.</w:t>
      </w:r>
    </w:p>
    <w:p>
      <w:pPr>
        <w:pStyle w:val="Heading1"/>
      </w:pPr>
      <w:r>
        <w:t>4. Flusso dei dati</w:t>
      </w:r>
    </w:p>
    <w:p>
      <w:pPr>
        <w:pStyle w:val="ListBullet"/>
      </w:pPr>
      <w:r>
        <w:t>File Excel Exalogic</w:t>
      </w:r>
    </w:p>
    <w:p>
      <w:pPr>
        <w:pStyle w:val="ListBullet"/>
      </w:pPr>
      <w:r>
        <w:t>→ Database Supabase</w:t>
      </w:r>
    </w:p>
    <w:p>
      <w:pPr>
        <w:pStyle w:val="ListBullet"/>
      </w:pPr>
      <w:r>
        <w:t>→ Dati giornalieri della rete</w:t>
      </w:r>
    </w:p>
    <w:p>
      <w:pPr>
        <w:pStyle w:val="ListBullet"/>
      </w:pPr>
      <w:r>
        <w:t>→ Controllo qualità (date, valori, duplicati)</w:t>
      </w:r>
    </w:p>
    <w:p>
      <w:pPr>
        <w:pStyle w:val="ListBullet"/>
      </w:pPr>
      <w:r>
        <w:t>→ Preprocessing (baseline, delta, z-score, payout)</w:t>
      </w:r>
    </w:p>
    <w:p>
      <w:pPr>
        <w:pStyle w:val="ListBullet"/>
      </w:pPr>
      <w:r>
        <w:t>→ Segnali decisionali (rake negativo, calo rake, payout anomalo)</w:t>
      </w:r>
    </w:p>
    <w:p>
      <w:pPr>
        <w:pStyle w:val="ListBullet"/>
      </w:pPr>
      <w:r>
        <w:t>→ Coda decisionale (ordinata per priorità, deduplicata)</w:t>
      </w:r>
    </w:p>
    <w:p>
      <w:pPr>
        <w:pStyle w:val="ListBullet"/>
      </w:pPr>
      <w:r>
        <w:t>→ Alert Dashboard + Briefing automatico</w:t>
      </w:r>
    </w:p>
    <w:p>
      <w:pPr>
        <w:pStyle w:val="ListBullet"/>
      </w:pPr>
      <w:r>
        <w:t>→ Futuro bottone "Cosa devo fare adesso?"</w:t>
      </w:r>
    </w:p>
    <w:p>
      <w:pPr>
        <w:pStyle w:val="Heading1"/>
      </w:pPr>
      <w:r>
        <w:t>5. Benefici aziendali</w:t>
      </w:r>
    </w:p>
    <w:p>
      <w:r>
        <w:rPr>
          <w:b/>
        </w:rPr>
        <w:t xml:space="preserve">Riduzione alert errati: </w:t>
      </w:r>
      <w:r>
        <w:t>Ogni alert ha una provenienza certa e spiegabile.</w:t>
      </w:r>
    </w:p>
    <w:p>
      <w:r>
        <w:rPr>
          <w:b/>
        </w:rPr>
        <w:t xml:space="preserve">Tracciabilità: </w:t>
      </w:r>
      <w:r>
        <w:t>Per ogni alert si può risalire al dato originale.</w:t>
      </w:r>
    </w:p>
    <w:p>
      <w:r>
        <w:rPr>
          <w:b/>
        </w:rPr>
        <w:t xml:space="preserve">Dati reali: </w:t>
      </w:r>
      <w:r>
        <w:t>Nessun dato inventato o simulato.</w:t>
      </w:r>
    </w:p>
    <w:p>
      <w:r>
        <w:rPr>
          <w:b/>
        </w:rPr>
        <w:t xml:space="preserve">Fatti vs statistica: </w:t>
      </w:r>
      <w:r>
        <w:t>Il sistema distingue fatti contabili diretti da segnali statistici.</w:t>
      </w:r>
    </w:p>
    <w:p>
      <w:r>
        <w:rPr>
          <w:b/>
        </w:rPr>
        <w:t xml:space="preserve">Priorità: </w:t>
      </w:r>
      <w:r>
        <w:t>Gli alert sono ordinati: i più importanti compaiono per primi.</w:t>
      </w:r>
    </w:p>
    <w:p>
      <w:r>
        <w:rPr>
          <w:b/>
        </w:rPr>
        <w:t xml:space="preserve">Base pronta: </w:t>
      </w:r>
      <w:r>
        <w:t>La coda decisionale è già calcolata per il futuro bottone operativo.</w:t>
      </w:r>
    </w:p>
    <w:p>
      <w:pPr>
        <w:pStyle w:val="Heading1"/>
      </w:pPr>
      <w:r>
        <w:t>6. Controlli e test</w:t>
      </w:r>
    </w:p>
    <w:tbl>
      <w:tblPr>
        <w:tblStyle w:val="LightGrid-Accent1"/>
        <w:tblW w:type="auto" w:w="0"/>
        <w:tblLook w:firstColumn="1" w:firstRow="1" w:lastColumn="0" w:lastRow="0" w:noHBand="0" w:noVBand="1" w:val="04A0"/>
      </w:tblPr>
      <w:tblGrid>
        <w:gridCol w:w="4320"/>
        <w:gridCol w:w="4320"/>
      </w:tblGrid>
      <w:tr>
        <w:tc>
          <w:tcPr>
            <w:tcW w:type="dxa" w:w="4320"/>
          </w:tcPr>
          <w:p>
            <w:r>
              <w:t>Verifica</w:t>
            </w:r>
          </w:p>
        </w:tc>
        <w:tc>
          <w:tcPr>
            <w:tcW w:type="dxa" w:w="4320"/>
          </w:tcPr>
          <w:p>
            <w:r>
              <w:t>Risultato</w:t>
            </w:r>
          </w:p>
        </w:tc>
      </w:tr>
      <w:tr>
        <w:tc>
          <w:tcPr>
            <w:tcW w:type="dxa" w:w="4320"/>
          </w:tcPr>
          <w:p>
            <w:r>
              <w:t>Typecheck (TypeScript)</w:t>
            </w:r>
          </w:p>
        </w:tc>
        <w:tc>
          <w:tcPr>
            <w:tcW w:type="dxa" w:w="4320"/>
          </w:tcPr>
          <w:p>
            <w:r>
              <w:t>Superato</w:t>
            </w:r>
          </w:p>
        </w:tc>
      </w:tr>
      <w:tr>
        <w:tc>
          <w:tcPr>
            <w:tcW w:type="dxa" w:w="4320"/>
          </w:tcPr>
          <w:p>
            <w:r>
              <w:t>Test automatici</w:t>
            </w:r>
          </w:p>
        </w:tc>
        <w:tc>
          <w:tcPr>
            <w:tcW w:type="dxa" w:w="4320"/>
          </w:tcPr>
          <w:p>
            <w:r>
              <w:t>80/80 superati</w:t>
            </w:r>
          </w:p>
        </w:tc>
      </w:tr>
      <w:tr>
        <w:tc>
          <w:tcPr>
            <w:tcW w:type="dxa" w:w="4320"/>
          </w:tcPr>
          <w:p>
            <w:r>
              <w:t>Build di produzione</w:t>
            </w:r>
          </w:p>
        </w:tc>
        <w:tc>
          <w:tcPr>
            <w:tcW w:type="dxa" w:w="4320"/>
          </w:tcPr>
          <w:p>
            <w:r>
              <w:t>Completata</w:t>
            </w:r>
          </w:p>
        </w:tc>
      </w:tr>
      <w:tr>
        <w:tc>
          <w:tcPr>
            <w:tcW w:type="dxa" w:w="4320"/>
          </w:tcPr>
          <w:p>
            <w:r>
              <w:t>Deploy (Vercel)</w:t>
            </w:r>
          </w:p>
        </w:tc>
        <w:tc>
          <w:tcPr>
            <w:tcW w:type="dxa" w:w="4320"/>
          </w:tcPr>
          <w:p>
            <w:r>
              <w:t>Pronto</w:t>
            </w:r>
          </w:p>
        </w:tc>
      </w:tr>
      <w:tr>
        <w:tc>
          <w:tcPr>
            <w:tcW w:type="dxa" w:w="4320"/>
          </w:tcPr>
          <w:p>
            <w:r>
              <w:t>Commit GitHub</w:t>
            </w:r>
          </w:p>
        </w:tc>
        <w:tc>
          <w:tcPr>
            <w:tcW w:type="dxa" w:w="4320"/>
          </w:tcPr>
          <w:p>
            <w:r>
              <w:t>1dc3a39</w:t>
            </w:r>
          </w:p>
        </w:tc>
      </w:tr>
    </w:tbl>
    <w:p>
      <w:pPr>
        <w:pStyle w:val="Heading1"/>
      </w:pPr>
      <w:r>
        <w:t>7. Cosa non è stato ancora implementato</w:t>
      </w:r>
    </w:p>
    <w:p>
      <w:pPr>
        <w:pStyle w:val="ListBullet"/>
      </w:pPr>
      <w:r>
        <w:t>Bottone "Cosa devo fare adesso?" — Pianificato</w:t>
      </w:r>
    </w:p>
    <w:p>
      <w:pPr>
        <w:pStyle w:val="ListBullet"/>
      </w:pPr>
      <w:r>
        <w:t>Visualizzazione coda decisionale in UI — Pianificato</w:t>
      </w:r>
    </w:p>
    <w:p>
      <w:pPr>
        <w:pStyle w:val="ListBullet"/>
      </w:pPr>
      <w:r>
        <w:t>Alert su singoli giocatori — Disattivato (dati da certificare)</w:t>
      </w:r>
    </w:p>
    <w:p>
      <w:pPr>
        <w:pStyle w:val="ListBullet"/>
      </w:pPr>
      <w:r>
        <w:t>Alert su PVR — Pianificato</w:t>
      </w:r>
    </w:p>
    <w:p>
      <w:pPr>
        <w:pStyle w:val="ListBullet"/>
      </w:pPr>
      <w:r>
        <w:t>Collegamento Impostazioni → soglie — Pianificato</w:t>
      </w:r>
    </w:p>
    <w:p>
      <w:pPr>
        <w:pStyle w:val="ListBullet"/>
      </w:pPr>
      <w:r>
        <w:t>Copilot collegato al nuovo motore — Pianificato</w:t>
      </w:r>
    </w:p>
    <w:p>
      <w:pPr>
        <w:pStyle w:val="ListBullet"/>
      </w:pPr>
      <w:r>
        <w:t>Pulizia 106 righe sospette — In attesa di certificazione</w:t>
      </w:r>
    </w:p>
    <w:p>
      <w:pPr>
        <w:pStyle w:val="ListBullet"/>
      </w:pPr>
      <w:r>
        <w:t>Health Score — Non implementato (formula non approvata)</w:t>
      </w:r>
    </w:p>
    <w:p>
      <w:pPr>
        <w:pStyle w:val="ListBullet"/>
      </w:pPr>
      <w:r>
        <w:t>Fido PVR — Non implementato (dati non disponibili)</w:t>
      </w:r>
    </w:p>
    <w:p>
      <w:pPr>
        <w:pStyle w:val="ListBullet"/>
      </w:pPr>
      <w:r>
        <w:t>Agenti — Non implementato (dati non disponibili)</w:t>
      </w:r>
    </w:p>
    <w:p>
      <w:pPr>
        <w:pStyle w:val="ListBullet"/>
      </w:pPr>
      <w:r>
        <w:t>Soglie commerciali definitive — Da validare sui dati storici</w:t>
      </w:r>
    </w:p>
    <w:p>
      <w:r>
        <w:t>Le soglie attuali sono tecniche e provvisorie. Prima dell'attivazione operativa devono essere validate sui dati storici e approvate commercialmente.</w:t>
      </w:r>
    </w:p>
    <w:p>
      <w:pPr>
        <w:pStyle w:val="Heading1"/>
      </w:pPr>
      <w:r>
        <w:t>8. Prossimi passi consigliati</w:t>
      </w:r>
    </w:p>
    <w:p>
      <w:r>
        <w:t>1. Certificazione dei dati giocatore</w:t>
      </w:r>
    </w:p>
    <w:p>
      <w:r>
        <w:t>2. Visualizzazione della coda decisionale</w:t>
      </w:r>
    </w:p>
    <w:p>
      <w:r>
        <w:t>3. Bottone operativo "Cosa devo fare adesso?"</w:t>
      </w:r>
    </w:p>
    <w:p>
      <w:r>
        <w:t>4. Drill-down dell'alert (rete → PVR → giocatori)</w:t>
      </w:r>
    </w:p>
    <w:p>
      <w:r>
        <w:t>5. Configurazione soglie via Impostazioni</w:t>
      </w:r>
    </w:p>
    <w:p>
      <w:r>
        <w:t>6. Collegamento Copilot al nuovo motore</w:t>
      </w:r>
    </w:p>
    <w:p>
      <w:r>
        <w:t>7. Monitoraggio e validazione commerciale degli alert</w:t>
      </w:r>
    </w:p>
    <w:p>
      <w:pPr>
        <w:pStyle w:val="Heading1"/>
      </w:pPr>
      <w:r>
        <w:t>9. Registro tecnico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Commit</w:t>
            </w:r>
          </w:p>
        </w:tc>
        <w:tc>
          <w:tcPr>
            <w:tcW w:type="dxa" w:w="1440"/>
          </w:tcPr>
          <w:p>
            <w:r>
              <w:t>Data</w:t>
            </w:r>
          </w:p>
        </w:tc>
        <w:tc>
          <w:tcPr>
            <w:tcW w:type="dxa" w:w="1440"/>
          </w:tcPr>
          <w:p>
            <w:r>
              <w:t>Descrizione</w:t>
            </w:r>
          </w:p>
        </w:tc>
        <w:tc>
          <w:tcPr>
            <w:tcW w:type="dxa" w:w="1440"/>
          </w:tcPr>
          <w:p>
            <w:r>
              <w:t>File principali</w:t>
            </w:r>
          </w:p>
        </w:tc>
        <w:tc>
          <w:tcPr>
            <w:tcW w:type="dxa" w:w="1440"/>
          </w:tcPr>
          <w:p>
            <w:r>
              <w:t>Test</w:t>
            </w:r>
          </w:p>
        </w:tc>
        <w:tc>
          <w:tcPr>
            <w:tcW w:type="dxa" w:w="1440"/>
          </w:tcPr>
          <w:p>
            <w:r>
              <w:t>Esito</w:t>
            </w:r>
          </w:p>
        </w:tc>
      </w:tr>
      <w:tr>
        <w:tc>
          <w:tcPr>
            <w:tcW w:type="dxa" w:w="1440"/>
          </w:tcPr>
          <w:p>
            <w:r>
              <w:t>3a01d88</w:t>
            </w:r>
          </w:p>
        </w:tc>
        <w:tc>
          <w:tcPr>
            <w:tcW w:type="dxa" w:w="1440"/>
          </w:tcPr>
          <w:p>
            <w:r>
              <w:t>16/07</w:t>
            </w:r>
          </w:p>
        </w:tc>
        <w:tc>
          <w:tcPr>
            <w:tcW w:type="dxa" w:w="1440"/>
          </w:tcPr>
          <w:p>
            <w:r>
              <w:t>Fondazione preprocessing</w:t>
            </w:r>
          </w:p>
        </w:tc>
        <w:tc>
          <w:tcPr>
            <w:tcW w:type="dxa" w:w="1440"/>
          </w:tcPr>
          <w:p>
            <w:r>
              <w:t>preprocessing.ts</w:t>
            </w:r>
          </w:p>
        </w:tc>
        <w:tc>
          <w:tcPr>
            <w:tcW w:type="dxa" w:w="1440"/>
          </w:tcPr>
          <w:p>
            <w:r>
              <w:t>31</w:t>
            </w:r>
          </w:p>
        </w:tc>
        <w:tc>
          <w:tcPr>
            <w:tcW w:type="dxa" w:w="1440"/>
          </w:tcPr>
          <w:p>
            <w:r>
              <w:t>OK</w:t>
            </w:r>
          </w:p>
        </w:tc>
      </w:tr>
      <w:tr>
        <w:tc>
          <w:tcPr>
            <w:tcW w:type="dxa" w:w="1440"/>
          </w:tcPr>
          <w:p>
            <w:r>
              <w:t>0dbd3c6</w:t>
            </w:r>
          </w:p>
        </w:tc>
        <w:tc>
          <w:tcPr>
            <w:tcW w:type="dxa" w:w="1440"/>
          </w:tcPr>
          <w:p>
            <w:r>
              <w:t>16/07</w:t>
            </w:r>
          </w:p>
        </w:tc>
        <w:tc>
          <w:tcPr>
            <w:tcW w:type="dxa" w:w="1440"/>
          </w:tcPr>
          <w:p>
            <w:r>
              <w:t>Correzione semantica</w:t>
            </w:r>
          </w:p>
        </w:tc>
        <w:tc>
          <w:tcPr>
            <w:tcW w:type="dxa" w:w="1440"/>
          </w:tcPr>
          <w:p>
            <w:r>
              <w:t>preprocessing.ts, test</w:t>
            </w:r>
          </w:p>
        </w:tc>
        <w:tc>
          <w:tcPr>
            <w:tcW w:type="dxa" w:w="1440"/>
          </w:tcPr>
          <w:p>
            <w:r>
              <w:t>73</w:t>
            </w:r>
          </w:p>
        </w:tc>
        <w:tc>
          <w:tcPr>
            <w:tcW w:type="dxa" w:w="1440"/>
          </w:tcPr>
          <w:p>
            <w:r>
              <w:t>OK</w:t>
            </w:r>
          </w:p>
        </w:tc>
      </w:tr>
      <w:tr>
        <w:tc>
          <w:tcPr>
            <w:tcW w:type="dxa" w:w="1440"/>
          </w:tcPr>
          <w:p>
            <w:r>
              <w:t>1dc3a39</w:t>
            </w:r>
          </w:p>
        </w:tc>
        <w:tc>
          <w:tcPr>
            <w:tcW w:type="dxa" w:w="1440"/>
          </w:tcPr>
          <w:p>
            <w:r>
              <w:t>16/07</w:t>
            </w:r>
          </w:p>
        </w:tc>
        <w:tc>
          <w:tcPr>
            <w:tcW w:type="dxa" w:w="1440"/>
          </w:tcPr>
          <w:p>
            <w:r>
              <w:t>Integrazione data layer</w:t>
            </w:r>
          </w:p>
        </w:tc>
        <w:tc>
          <w:tcPr>
            <w:tcW w:type="dxa" w:w="1440"/>
          </w:tcPr>
          <w:p>
            <w:r>
              <w:t>data.ts, Dashboard</w:t>
            </w:r>
          </w:p>
        </w:tc>
        <w:tc>
          <w:tcPr>
            <w:tcW w:type="dxa" w:w="1440"/>
          </w:tcPr>
          <w:p>
            <w:r>
              <w:t>80</w:t>
            </w:r>
          </w:p>
        </w:tc>
        <w:tc>
          <w:tcPr>
            <w:tcW w:type="dxa" w:w="1440"/>
          </w:tcPr>
          <w:p>
            <w:r>
              <w:t>OK</w:t>
            </w:r>
          </w:p>
        </w:tc>
      </w:tr>
    </w:tbl>
    <w:p>
      <w:pPr>
        <w:pStyle w:val="Heading1"/>
      </w:pPr>
      <w:r>
        <w:t>10. Conclusione per il management</w:t>
      </w:r>
    </w:p>
    <w:p>
      <w:r>
        <w:t>Abbiamo costruito la base affidabile del motore decisionale della piattaforma. Tutti gli alert visibili in Dashboard ora provengono da un unico motore di preprocessing che utilizza esclusivamente dati reali, spiega sempre perché un alert è stato generato, ordina gli alert per priorità ed è pronto per alimentare il futuro bottone operativo.</w:t>
      </w:r>
    </w:p>
    <w:p>
      <w:r>
        <w:t>La piattaforma non è ancora dichiarata completa. Per arrivare a una versione operativa completa servono: la certificazione puntuale dei dati giocatore, la visualizzazione della coda decisionale e l'implementazione del bottone "Cosa devo fare adesso?".</w:t>
      </w:r>
    </w:p>
    <w:p>
      <w:r>
        <w:t>Il lavoro svolto il 20 luglio 2026 costituisce la fondazione tecnica su cui costruire questi ultimi tasselli.</w:t>
      </w:r>
    </w:p>
    <w:p/>
    <w:p>
      <w:pPr>
        <w:jc w:val="center"/>
      </w:pPr>
      <w:r>
        <w:t>Documento generato automaticamente dai commit GitHub — 20 luglio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