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7.</w:t>
      </w:r>
      <w:r>
        <w:rPr/>
        <w:t xml:space="preserve"> Recall at the last turn and old-fact recall at 60 turns, k = 6, 20 seeds: mean, standard deviation, 95% confidence interval, and the paired difference against the flat model.</w:t>
      </w:r>
    </w:p>
    <w:tbl>
      <w:tblPr>
        <w:tblW w:w="13000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1300"/>
        <w:gridCol w:w="1820"/>
        <w:gridCol w:w="1690"/>
        <w:gridCol w:w="1820"/>
        <w:gridCol w:w="1690"/>
        <w:gridCol w:w="2080"/>
        <w:gridCol w:w="1170"/>
        <w:gridCol w:w="1430"/>
      </w:tblGrid>
      <w:tr>
        <w:trPr>
          <w:cantSplit/>
          <w:tblHeader/>
        </w:trPr>
        <w:tc>
          <w:tcPr>
            <w:tcW w:w="130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Shape</w:t>
            </w:r>
          </w:p>
        </w:tc>
        <w:tc>
          <w:tcPr>
            <w:tcW w:w="182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Recall, mean (SD) (fraction)</w:t>
            </w:r>
          </w:p>
        </w:tc>
        <w:tc>
          <w:tcPr>
            <w:tcW w:w="169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95% CI (fraction)</w:t>
            </w:r>
          </w:p>
        </w:tc>
        <w:tc>
          <w:tcPr>
            <w:tcW w:w="182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Old facts, mean (SD) (fraction)</w:t>
            </w:r>
          </w:p>
        </w:tc>
        <w:tc>
          <w:tcPr>
            <w:tcW w:w="169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95% CI (fraction)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Gain over flat, mean [95% CI] (fraction)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Seeds won (count)</w:t>
            </w:r>
          </w:p>
        </w:tc>
        <w:tc>
          <w:tcPr>
            <w:tcW w:w="143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Sent per turn (tokens)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Flat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0.479 (0.051)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0.455 to 0.503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0.606 (0.042)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0.586 to 0.625</w:t>
            </w:r>
          </w:p>
        </w:tc>
        <w:tc>
          <w:tcPr>
            <w:tcW w:w="2080" w:type="dxa"/>
          </w:tcPr>
          <w:p>
            <w:pPr>
              <w:pStyle w:val="TableText"/>
            </w:pPr>
          </w:p>
        </w:tc>
        <w:tc>
          <w:tcPr>
            <w:tcW w:w="1170" w:type="dxa"/>
          </w:tcPr>
          <w:p>
            <w:pPr>
              <w:pStyle w:val="TableText"/>
            </w:pP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461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0.578 (0.055)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0.553 to 0.604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0.638 (0.031)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0.624 to 0.653</w:t>
            </w:r>
          </w:p>
        </w:tc>
        <w:tc>
          <w:tcPr>
            <w:tcW w:w="20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+0.099 [0.067, 0.131]</w:t>
            </w:r>
          </w:p>
        </w:tc>
        <w:tc>
          <w:tcPr>
            <w:tcW w:w="117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18 of 20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460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0.550 (0.060)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0.522 to 0.578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0.620 (0.034)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0.604 to 0.635</w:t>
            </w:r>
          </w:p>
        </w:tc>
        <w:tc>
          <w:tcPr>
            <w:tcW w:w="20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+0.071 [0.043, 0.098]</w:t>
            </w:r>
          </w:p>
        </w:tc>
        <w:tc>
          <w:tcPr>
            <w:tcW w:w="117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17 of 20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461</w:t>
            </w:r>
          </w:p>
        </w:tc>
      </w:tr>
    </w:tbl>
    <w:p>
      <w:pPr>
        <w:pStyle w:val="TableText"/>
        <w:spacing w:before="80"/>
      </w:pPr>
      <w:r>
        <w:rPr/>
        <w:t xml:space="preserve">Intervals are t-based on per-seed values; the gains are per-seed differences against the flat model on the same seed.</w:t>
      </w:r>
    </w:p>
    <w:sectPr>
      <w:footerReference w:type="default" r:id="rIdFooter"/>
      <w:pgSz w:w="15840" w:h="12240" w:orient="landscape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7</dc:title>
  <dc:creator>Devieswar Kancheti</dc:creator>
  <dcterms:created xsi:type="dcterms:W3CDTF">2026-09-28T13:09:00Z</dcterms:created>
  <dcterms:modified xsi:type="dcterms:W3CDTF">2026-09-28T13:09:00Z</dcterms:modified>
</cp:coreProperties>
</file>