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body>
    <w:p>
      <w:pPr/>
      <w:r>
        <w:rPr>
          <w:b/>
        </w:rPr>
        <w:t xml:space="preserve">Table 8.</w:t>
      </w:r>
      <w:r>
        <w:rPr/>
        <w:t xml:space="preserve"> The same statistics for the 300-turn document run, k = 12, five seeds.</w:t>
      </w:r>
    </w:p>
    <w:tbl>
      <w:tblPr>
        <w:tblW w:w="13000" w:type="dxa"/>
        <w:tblBorders>
          <w:top w:val="single" w:sz="8" w:space="0" w:color="000000"/>
          <w:bottom w:val="single" w:sz="8" w:space="0" w:color="000000"/>
        </w:tblBorders>
        <w:tblLayout w:type="fixed"/>
        <w:tblCellMar>
          <w:left w:w="70" w:type="dxa"/>
          <w:right w:w="70" w:type="dxa"/>
        </w:tblCellMar>
      </w:tblPr>
      <w:tblGrid>
        <w:gridCol w:w="1300"/>
        <w:gridCol w:w="1820"/>
        <w:gridCol w:w="1690"/>
        <w:gridCol w:w="1820"/>
        <w:gridCol w:w="1690"/>
        <w:gridCol w:w="2080"/>
        <w:gridCol w:w="1170"/>
        <w:gridCol w:w="1430"/>
      </w:tblGrid>
      <w:tr>
        <w:trPr>
          <w:cantSplit/>
          <w:tblHeader/>
        </w:trPr>
        <w:tc>
          <w:tcPr>
            <w:tcW w:w="1300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18"/>
                <w:szCs w:val="18"/>
                <w:b/>
              </w:rPr>
              <w:t xml:space="preserve">Shape</w:t>
            </w:r>
          </w:p>
        </w:tc>
        <w:tc>
          <w:tcPr>
            <w:tcW w:w="1820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18"/>
                <w:szCs w:val="18"/>
                <w:b/>
              </w:rPr>
              <w:t xml:space="preserve">Recall, mean (SD) (fraction)</w:t>
            </w:r>
          </w:p>
        </w:tc>
        <w:tc>
          <w:tcPr>
            <w:tcW w:w="1690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18"/>
                <w:szCs w:val="18"/>
                <w:b/>
              </w:rPr>
              <w:t xml:space="preserve">95% CI (fraction)</w:t>
            </w:r>
          </w:p>
        </w:tc>
        <w:tc>
          <w:tcPr>
            <w:tcW w:w="1820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18"/>
                <w:szCs w:val="18"/>
                <w:b/>
              </w:rPr>
              <w:t xml:space="preserve">Old facts, mean (SD) (fraction)</w:t>
            </w:r>
          </w:p>
        </w:tc>
        <w:tc>
          <w:tcPr>
            <w:tcW w:w="1690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18"/>
                <w:szCs w:val="18"/>
                <w:b/>
              </w:rPr>
              <w:t xml:space="preserve">95% CI (fraction)</w:t>
            </w:r>
          </w:p>
        </w:tc>
        <w:tc>
          <w:tcPr>
            <w:tcW w:w="2080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18"/>
                <w:szCs w:val="18"/>
                <w:b/>
              </w:rPr>
              <w:t xml:space="preserve">Gain over flat, mean [95% CI] (fraction)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18"/>
                <w:szCs w:val="18"/>
                <w:b/>
              </w:rPr>
              <w:t xml:space="preserve">Seeds won (count)</w:t>
            </w:r>
          </w:p>
        </w:tc>
        <w:tc>
          <w:tcPr>
            <w:tcW w:w="1430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18"/>
                <w:szCs w:val="18"/>
                <w:b/>
              </w:rPr>
              <w:t xml:space="preserve">Sent per turn (tokens)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Flat</w:t>
            </w:r>
          </w:p>
        </w:tc>
        <w:tc>
          <w:tcPr>
            <w:tcW w:w="182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0.237 (0.035)</w:t>
            </w:r>
          </w:p>
        </w:tc>
        <w:tc>
          <w:tcPr>
            <w:tcW w:w="169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0.193 to 0.281</w:t>
            </w:r>
          </w:p>
        </w:tc>
        <w:tc>
          <w:tcPr>
            <w:tcW w:w="182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0.320 (0.004)</w:t>
            </w:r>
          </w:p>
        </w:tc>
        <w:tc>
          <w:tcPr>
            <w:tcW w:w="169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0.316 to 0.325</w:t>
            </w:r>
          </w:p>
        </w:tc>
        <w:tc>
          <w:tcPr>
            <w:tcW w:w="2080" w:type="dxa"/>
          </w:tcPr>
          <w:p>
            <w:pPr>
              <w:pStyle w:val="TableText"/>
            </w:pPr>
          </w:p>
        </w:tc>
        <w:tc>
          <w:tcPr>
            <w:tcW w:w="1170" w:type="dxa"/>
          </w:tcPr>
          <w:p>
            <w:pPr>
              <w:pStyle w:val="TableText"/>
            </w:pPr>
          </w:p>
        </w:tc>
        <w:tc>
          <w:tcPr>
            <w:tcW w:w="143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560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Tree</w:t>
            </w:r>
          </w:p>
        </w:tc>
        <w:tc>
          <w:tcPr>
            <w:tcW w:w="182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0.324 (0.014)</w:t>
            </w:r>
          </w:p>
        </w:tc>
        <w:tc>
          <w:tcPr>
            <w:tcW w:w="169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0.307 to 0.341</w:t>
            </w:r>
          </w:p>
        </w:tc>
        <w:tc>
          <w:tcPr>
            <w:tcW w:w="182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0.436 (0.004)</w:t>
            </w:r>
          </w:p>
        </w:tc>
        <w:tc>
          <w:tcPr>
            <w:tcW w:w="169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0.430 to 0.441</w:t>
            </w:r>
          </w:p>
        </w:tc>
        <w:tc>
          <w:tcPr>
            <w:tcW w:w="20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+0.087 [0.049, 0.126]</w:t>
            </w:r>
          </w:p>
        </w:tc>
        <w:tc>
          <w:tcPr>
            <w:tcW w:w="117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5 of 5</w:t>
            </w:r>
          </w:p>
        </w:tc>
        <w:tc>
          <w:tcPr>
            <w:tcW w:w="143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558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Cascade</w:t>
            </w:r>
          </w:p>
        </w:tc>
        <w:tc>
          <w:tcPr>
            <w:tcW w:w="182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0.301 (0.020)</w:t>
            </w:r>
          </w:p>
        </w:tc>
        <w:tc>
          <w:tcPr>
            <w:tcW w:w="169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0.276 to 0.327</w:t>
            </w:r>
          </w:p>
        </w:tc>
        <w:tc>
          <w:tcPr>
            <w:tcW w:w="182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0.408 (0.010)</w:t>
            </w:r>
          </w:p>
        </w:tc>
        <w:tc>
          <w:tcPr>
            <w:tcW w:w="169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0.396 to 0.420</w:t>
            </w:r>
          </w:p>
        </w:tc>
        <w:tc>
          <w:tcPr>
            <w:tcW w:w="20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+0.065 [0.024, 0.105]</w:t>
            </w:r>
          </w:p>
        </w:tc>
        <w:tc>
          <w:tcPr>
            <w:tcW w:w="117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5 of 5</w:t>
            </w:r>
          </w:p>
        </w:tc>
        <w:tc>
          <w:tcPr>
            <w:tcW w:w="143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560</w:t>
            </w:r>
          </w:p>
        </w:tc>
      </w:tr>
    </w:tbl>
    <w:p>
      <w:pPr>
        <w:pStyle w:val="TableText"/>
        <w:spacing w:before="80"/>
      </w:pPr>
      <w:r>
        <w:rPr/>
        <w:t xml:space="preserve">The ceiling of recall@12 at the last turn is 0.400. Intervals are t-based on per-seed values; the gains are per-seed differences against the flat model on the same seed.</w:t>
      </w:r>
    </w:p>
    <w:sectPr>
      <w:footerReference w:type="default" r:id="rIdFooter"/>
      <w:pgSz w:w="15840" w:h="12240" w:orient="landscape"/>
      <w:pgMar w:top="1417" w:right="1417" w:bottom="1417" w:left="1417" w:header="708" w:footer="567" w:gutter="0"/>
      <w:cols w:space="708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p>
    <w:pPr>
      <w:jc w:val="righ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defaultTabStop w:val="720"/>
  <w:characterSpacingControl w:val="doNotCompress"/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compat>
    <w:compatSetting w:name="compatibilityMode" w:uri="http://schemas.microsoft.com/office/word" w:val="15"/>
  </w:compat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  <w:pPrDefault>
      <w:pPr>
        <w:spacing w:after="120" w:line="240" w:lineRule="auto"/>
        <w:jc w:val="left"/>
      </w:pPr>
    </w:pPrDefault>
  </w:docDefaults>
  <w:style w:type="paragraph" w:default="1" w:styleId="Normal">
    <w:name w:val="Normal"/>
    <w:qFormat/>
    <w:pPr>
      <w:jc w:val="left"/>
    </w:pPr>
    <w:rPr/>
  </w:style>
  <w:style w:type="paragraph" w:styleId="Title">
    <w:name w:val="Title"/>
    <w:basedOn w:val="Normal"/>
    <w:next w:val="Normal"/>
    <w:qFormat/>
    <w:pPr>
      <w:spacing w:before="0" w:after="240" w:line="276" w:lineRule="auto"/>
      <w:outlineLvl w:val="0"/>
    </w:pPr>
    <w:rPr>
      <w:b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b/>
      <w:i/>
      <w:sz w:val="24"/>
      <w:szCs w:val="24"/>
    </w:rPr>
  </w:style>
  <w:style w:type="paragraph" w:styleId="Code">
    <w:name w:val="Code"/>
    <w:basedOn w:val="Normal"/>
    <w:next w:val="Normal"/>
    <w:qFormat/>
    <w:pPr>
      <w:keepLines/>
      <w:spacing w:before="60" w:after="60" w:line="240" w:lineRule="auto"/>
      <w:ind w:left="284"/>
    </w:pPr>
    <w:rPr>
      <w:rFonts w:ascii="Courier New" w:hAnsi="Courier New" w:cs="Courier New"/>
      <w:sz w:val="17"/>
      <w:szCs w:val="17"/>
    </w:rPr>
  </w:style>
  <w:style w:type="paragraph" w:styleId="TableText">
    <w:name w:val="Table Text"/>
    <w:basedOn w:val="Normal"/>
    <w:next w:val="Normal"/>
    <w:qFormat/>
    <w:pPr>
      <w:spacing w:before="20" w:after="20" w:line="240" w:lineRule="auto"/>
    </w:pPr>
    <w:rPr>
      <w:sz w:val="20"/>
      <w:szCs w:val="20"/>
    </w:rPr>
  </w:style>
  <w:style w:type="paragraph" w:styleId="Equation">
    <w:name w:val="Equation"/>
    <w:basedOn w:val="Normal"/>
    <w:next w:val="Normal"/>
    <w:qFormat/>
    <w:pPr>
      <w:spacing w:before="120" w:after="120"/>
      <w:ind w:left="567"/>
    </w:pPr>
    <w:rPr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docxgen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8</dc:title>
  <dc:creator>Devieswar Kancheti</dc:creator>
  <dcterms:created xsi:type="dcterms:W3CDTF">2026-09-28T13:09:00Z</dcterms:created>
  <dcterms:modified xsi:type="dcterms:W3CDTF">2026-09-28T13:09:00Z</dcterms:modified>
</cp:coreProperties>
</file>