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4081"/>
        <w:gridCol w:w="549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4181A"/>
                <w:sz w:val="30"/>
                <w:szCs w:val="30"/>
              </w:rPr>
              <w:t xml:space="preserve">Quantinvo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La fiabilisation du stock au quotidien</w:t>
            </w:r>
          </w:p>
        </w:tc>
        <w:tc>
          <w:tcPr>
            <w:tcW w:type="dxa" w:w="549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75F5C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14181A" w:sz="8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14181A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7EDE9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Les inventaires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 suivi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Zones et balises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Écarts d’audit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836987" cy="176847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6987" cy="176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Rapport et écarts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SÉCURITÉ ET CONFIDENTIALITÉ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Double authentification (TOTP) sur l’application comme sur le site, activable par chaque compte.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Chaque compte ne voit que son entreprise, et un compteur que ses propres comptages : le cloisonnement est appliqué en base, pas seulement à l’écran.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Personne ne s’inscrit seul. Les accès sont ouverts par l’administrateur de l’entreprise.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Mot de passe de 12 caractères au minimum, et refus de ceux qui figurent dans les fuites connues.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jeton de session vit dans le trousseau du téléphone, chiffré par le système. Une session inutilisée expire au bout de 30 jours.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Données hébergées dans l’Union européenne. Aucun traceur, aucune mesure d’audience.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iOS 16.4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français. Portrait, thèmes clair et sombre.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1.0.0 (build 4)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www.quantinvo.com/confidentialite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OÙ LA TÉLÉCHARGER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App Store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apps.apple.com/fr/search?term=Quantinvo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Google Play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i/>
          <w:iCs/>
          <w:color w:val="575F5C"/>
          <w:sz w:val="15"/>
          <w:szCs w:val="15"/>
        </w:rPr>
        <w:t xml:space="preserve">L’application n’est pas encore publiée. Ces deux adresses mènent aujourd’hui à la recherche de chaque boutique, et afficheront la fiche le jour de la mise en ligne.</w:t>
      </w:r>
    </w:p>
    <w:p>
      <w:pPr>
        <w:pBdr>
          <w:top w:val="single" w:color="E2E5E1" w:sz="4" w:space="5"/>
        </w:pBdr>
        <w:spacing w:after="0" w:before="13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 — fiche établie le 9 septembre 2026, application version 1.0.0.</w:t>
      </w:r>
    </w:p>
    <w:sectPr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57c0349367500e3149a7695bf05ca18d6dff5199.png"/><Relationship Id="rId9" Type="http://schemas.openxmlformats.org/officeDocument/2006/relationships/image" Target="media/8c14337ca8ebecba531cd003762737784f7dff46.png"/><Relationship Id="rId10" Type="http://schemas.openxmlformats.org/officeDocument/2006/relationships/image" Target="media/2d6398356fcab9952c95f66a78e3153e48d98ac0.png"/><Relationship Id="rId11" Type="http://schemas.openxmlformats.org/officeDocument/2006/relationships/image" Target="media/c163d30a47b23eec6e2c8aad49a470e1828a4f3a.png"/><Relationship Id="rId12" Type="http://schemas.openxmlformats.org/officeDocument/2006/relationships/image" Target="media/f8126148a3374843b5cb50e36dd6bf30bf7937e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2026-09-09T21:04:21.273Z</dcterms:created>
  <dcterms:modified xsi:type="dcterms:W3CDTF">2026-09-09T21:04:21.274Z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