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3"/>
        <w:gridCol w:w="4875"/>
        <w:gridCol w:w="4535"/>
      </w:tblGrid>
      <w:tr>
        <w:tc>
          <w:tcPr>
            <w:tcW w:type="dxa" w:w="7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7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6"/>
                <w:szCs w:val="26"/>
              </w:rPr>
              <w:t xml:space="preserve">Quantinvo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La fiabilisation du stock au quotidien</w:t>
            </w:r>
          </w:p>
        </w:tc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575F5C"/>
                <w:sz w:val="15"/>
                <w:szCs w:val="15"/>
              </w:rPr>
              <w:t xml:space="preserve">Prise en main · Superviseur</w:t>
            </w:r>
          </w:p>
        </w:tc>
      </w:tr>
    </w:tbl>
    <w:p>
      <w:pPr>
        <w:pBdr>
          <w:bottom w:val="single" w:color="14181A" w:sz="8" w:space="6"/>
        </w:pBdr>
        <w:spacing w:after="60" w:before="0"/>
      </w:pPr>
    </w:p>
    <w:p>
      <w:pPr>
        <w:spacing w:after="90" w:before="180"/>
      </w:pPr>
      <w:r>
        <w:rPr>
          <w:rFonts w:ascii="Arial" w:cs="Arial" w:eastAsia="Arial" w:hAnsi="Arial"/>
          <w:b/>
          <w:bCs/>
          <w:color w:val="14181A"/>
          <w:sz w:val="32"/>
          <w:szCs w:val="32"/>
        </w:rPr>
        <w:t xml:space="preserve">L’application, écran par écran</w:t>
      </w:r>
    </w:p>
    <w:p>
      <w:pPr>
        <w:spacing w:after="60" w:before="0" w:line="280"/>
      </w:pPr>
      <w:r>
        <w:rPr>
          <w:rFonts w:ascii="Arial" w:cs="Arial" w:eastAsia="Arial" w:hAnsi="Arial"/>
          <w:color w:val="3A423F"/>
          <w:sz w:val="19"/>
          <w:szCs w:val="19"/>
        </w:rPr>
        <w:t xml:space="preserve">Tout ce qui se prépare une fois, et tout ce qui demande une décision. Les trois quarts se font avant que quiconque ne scanne quoi que ce soit.</w:t>
      </w:r>
    </w:p>
    <w:p>
      <w:pPr>
        <w:spacing w:after="220" w:before="0"/>
      </w:pPr>
      <w:r>
        <w:rPr>
          <w:rFonts w:ascii="Arial" w:cs="Arial" w:eastAsia="Arial" w:hAnsi="Arial"/>
          <w:i/>
          <w:iCs/>
          <w:color w:val="575F5C"/>
          <w:sz w:val="15"/>
          <w:szCs w:val="15"/>
        </w:rPr>
        <w:t xml:space="preserve">Chaque étape cite le repère que l’application affiche à ce moment-là. Captures du 10 septembre 2026.</w:t>
      </w: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Imprimer ses balises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Une planche d'étiquettes à coller sur les rayons, générée depuis la boîte à outils. À faire une fois : elles resservent d'un inventaire à l'autre.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Première étape du bandeau de démarrage, sur l’accueil.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Créer l'inventaire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Un nom, un magasin, un code à communiquer à l'équipe. Et le choix du mode : avec balises, plusieurs personnes comptent en parallèle sans se gêner.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Ce choix ne se change plus après la création. »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Affecter les plages de balises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Dire quelles étiquettes correspondent à quel endroit : les balises 1000 à 1049 sont la Surface de vente. C'est ce qui rend l'avancement lisible rayon par rayon.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Balise, emplacement, plage », en tête de l’écran.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Importer les deux fichiers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Le référencement nomme les articles ; sans lui tout ressort en « article inconnu ». Le stock théorique donne les quantités attendues — c'est lui, et lui seul, qui fait apparaître les écarts.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Deux fichiers, deux rôles », avant le premier import.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Ajouter son équipe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Prénom, nom, adresse : la personne reçoit une invitation et choisit son mot de passe. Tant qu'elle n'est pas entrée, sa ligne porte « Mot de passe à créer ».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La personne apparaît tout de suite, avant même sa première connexion.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6.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Suivre l'avancement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Il se lit en balises comptées, pas en pièces. Chaque rayon terminé remonte tout seul : rien à rafraîchir, rien à demander à l'équipe.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Le suivi se lit aussi sur le site, plus au large.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/>
            </w:pP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1525475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152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E4D3B"/>
                <w:sz w:val="20"/>
                <w:szCs w:val="20"/>
              </w:rPr>
              <w:t xml:space="preserve">7. </w:t>
            </w: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Arbitrer les écarts d'audit, puis clôturer</w:t>
            </w:r>
          </w:p>
          <w:p>
            <w:pPr>
              <w:spacing w:after="70" w:before="0" w:line="280"/>
            </w:pPr>
            <w:r>
              <w:rPr>
                <w:rFonts w:ascii="Arial" w:cs="Arial" w:eastAsia="Arial" w:hAnsi="Arial"/>
                <w:color w:val="3A423F"/>
                <w:sz w:val="18"/>
                <w:szCs w:val="18"/>
              </w:rPr>
              <w:t xml:space="preserve">Quand un second passage ne donne pas le même compte que le premier, l'écran les oppose balise par balise : on retient le compteur, l'auditeur, ou une troisième quantité. À la clôture, l'inventaire passe en lecture seule et le rapport se fige.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75F5C"/>
                <w:sz w:val="16"/>
                <w:szCs w:val="16"/>
              </w:rPr>
              <w:t xml:space="preserve">« Les écarts se comparent balise par balise », en tête de l’écran.</w:t>
            </w:r>
          </w:p>
        </w:tc>
      </w:tr>
    </w:tbl>
    <w:p>
      <w:pPr>
        <w:pBdr>
          <w:bottom w:val="single" w:color="E2E5E1" w:sz="4" w:space="4"/>
        </w:pBdr>
        <w:spacing w:after="120" w:before="240"/>
      </w:pPr>
    </w:p>
    <w:tbl>
      <w:tblPr>
        <w:tblW w:type="dxa" w:w="1020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503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26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701989" cy="701989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89" cy="701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0"/>
            </w:pPr>
            <w:r>
              <w:rPr>
                <w:rFonts w:ascii="Arial" w:cs="Arial" w:eastAsia="Arial" w:hAnsi="Arial"/>
                <w:b/>
                <w:bCs/>
                <w:color w:val="14181A"/>
                <w:sz w:val="20"/>
                <w:szCs w:val="20"/>
              </w:rPr>
              <w:t xml:space="preserve">Installer l’application</w:t>
            </w:r>
          </w:p>
          <w:p>
            <w:pPr>
              <w:spacing w:after="60" w:before="0" w:line="270"/>
            </w:pPr>
            <w:r>
              <w:rPr>
                <w:rFonts w:ascii="Arial" w:cs="Arial" w:eastAsia="Arial" w:hAnsi="Arial"/>
                <w:color w:val="3A423F"/>
                <w:sz w:val="17"/>
                <w:szCs w:val="17"/>
              </w:rPr>
              <w:t xml:space="preserve">Faites scanner ce code par le téléphone. Si l’application est déjà installée, elle s’ouvre ; sinon, la boutique du téléphone lui est proposée — iPhone comme Android.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4D3B"/>
                <w:sz w:val="16"/>
                <w:szCs w:val="16"/>
              </w:rPr>
              <w:t xml:space="preserve">www.quantinvo.com/open</w:t>
            </w:r>
          </w:p>
        </w:tc>
      </w:tr>
    </w:tbl>
    <w:p>
      <w:pPr>
        <w:pBdr>
          <w:top w:val="single" w:color="E2E5E1" w:sz="4" w:space="5"/>
        </w:pBdr>
        <w:spacing w:after="0" w:before="200"/>
      </w:pPr>
      <w:r>
        <w:rPr>
          <w:rFonts w:ascii="Arial" w:cs="Arial" w:eastAsia="Arial" w:hAnsi="Arial"/>
          <w:color w:val="575F5C"/>
          <w:sz w:val="14"/>
          <w:szCs w:val="14"/>
        </w:rPr>
        <w:t xml:space="preserve">Devkaylab · contact@quantinvo.com · www.quantinvo.com — guide établi le 28 septembre 2026.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423F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6408aa4191d9732224fe2d1e75b63fd78a6bba8.png"/><Relationship Id="rId8" Type="http://schemas.openxmlformats.org/officeDocument/2006/relationships/image" Target="media/fe09ec4c2f1be59c2a977a039395e3fe74c904bc.png"/><Relationship Id="rId9" Type="http://schemas.openxmlformats.org/officeDocument/2006/relationships/image" Target="media/13e21357a33570f1114e00556144b0bfb632f4a1.png"/><Relationship Id="rId10" Type="http://schemas.openxmlformats.org/officeDocument/2006/relationships/image" Target="media/e6b1d4ad8103cf5fa248d087c64e98711fe3c01a.png"/><Relationship Id="rId11" Type="http://schemas.openxmlformats.org/officeDocument/2006/relationships/image" Target="media/66308952b1f70cba69de3beb6169bd43493c8677.png"/><Relationship Id="rId12" Type="http://schemas.openxmlformats.org/officeDocument/2006/relationships/image" Target="media/b9a1873e52b908a7a32a2b318057ebeec8e021c4.png"/><Relationship Id="rId13" Type="http://schemas.openxmlformats.org/officeDocument/2006/relationships/image" Target="media/5f3714940b7799c86a20173e3950fe01108fcc7c.png"/><Relationship Id="rId14" Type="http://schemas.openxmlformats.org/officeDocument/2006/relationships/image" Target="media/ed9f548c0317ef08173c316597f6137770bb1db3.png"/><Relationship Id="rId15" Type="http://schemas.openxmlformats.org/officeDocument/2006/relationships/image" Target="media/ccf3f79a885e4eb59203314bd4f629e02493da0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Quantinvo — prise en main · Superviseur</dc:title>
  <dc:creator>Devkaylab</dc:creator>
  <cp:lastModifiedBy>Un-named</cp:lastModifiedBy>
  <cp:revision>1</cp:revision>
  <dcterms:created xsi:type="dcterms:W3CDTF">2026-09-28T08:06:15.013Z</dcterms:created>
  <dcterms:modified xsi:type="dcterms:W3CDTF">2026-09-28T08:06:15.013Z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