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4181A"/>
          <w:sz w:val="32"/>
          <w:szCs w:val="32"/>
        </w:rPr>
        <w:t xml:space="preserve">Quantinvo</w:t>
      </w:r>
    </w:p>
    <w:p>
      <w:pPr>
        <w:spacing w:after="480"/>
      </w:pPr>
      <w:r>
        <w:rPr>
          <w:rFonts w:ascii="Arial" w:cs="Arial" w:eastAsia="Arial" w:hAnsi="Arial"/>
          <w:color w:val="575F5C"/>
          <w:sz w:val="20"/>
          <w:szCs w:val="20"/>
        </w:rPr>
        <w:t xml:space="preserve">Document d’interface pour la direction informatique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4181A"/>
          <w:sz w:val="44"/>
          <w:szCs w:val="44"/>
        </w:rPr>
        <w:t xml:space="preserve">Échanges entre SAP et Quantinvo</w:t>
      </w:r>
    </w:p>
    <w:p>
      <w:pPr>
        <w:spacing w:after="240"/>
      </w:pPr>
      <w:r>
        <w:rPr>
          <w:rFonts w:ascii="Arial" w:cs="Arial" w:eastAsia="Arial" w:hAnsi="Arial"/>
          <w:color w:val="3A423F"/>
          <w:sz w:val="24"/>
          <w:szCs w:val="24"/>
        </w:rPr>
        <w:t xml:space="preserve">Référentiel articles, stock théorique et résultats de comptage pour l’inventaire fiscal.</w:t>
      </w:r>
    </w:p>
    <w:p>
      <w:pPr>
        <w:spacing w:after="100" w:line="276"/>
      </w:pPr>
      <w:r>
        <w:rPr>
          <w:rFonts w:ascii="Arial" w:cs="Arial" w:eastAsia="Arial" w:hAnsi="Arial"/>
          <w:color w:val="575F5C"/>
          <w:sz w:val="18"/>
          <w:szCs w:val="18"/>
        </w:rPr>
        <w:t xml:space="preserve">Version 0.1 — proposition · 19 septembre 2026 · Devkaylab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Statut de ce document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3A423F"/>
                <w:sz w:val="20"/>
                <w:szCs w:val="20"/>
              </w:rPr>
              <w:t xml:space="preserve">Cette interface n’existe pas encore. Le document propose les formats et le fonctionnement avant de la construire. Aujourd’hui, Quantinvo importe et exporte les mêmes données par fichiers CSV ou Excel, à la main. Les points marqués « à construire » sont ceux que Quantinvo développera après votre accord.</w:t>
            </w:r>
          </w:p>
        </w:tc>
      </w:tr>
    </w:tbl>
    <w:p>
      <w:pPr>
        <w:keepNext/>
        <w:pBdr>
          <w:bottom w:val="single" w:color="E2E5E1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4181A"/>
          <w:sz w:val="30"/>
          <w:szCs w:val="30"/>
        </w:rPr>
        <w:t xml:space="preserve">1. Le principe</w:t>
      </w:r>
    </w:p>
    <w:p>
      <w:pPr>
        <w:spacing w:after="100" w:line="276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Deux flux automatiques relient SAP et Quantinvo, pour chaque inventaire.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De SAP vers Quantinvo.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Le référentiel articles et le stock théorique figé par le document d’inventaire SAP.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De Quantinvo vers SAP.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Les quantités comptées, poste par poste, rattachées au même document d’inventaire.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Toujours à l’initiative de votre SI.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Votre système appelle Quantinvo en HTTPS sortant, pour déposer et pour récupérer. Aucune ouverture de port n’est demandée chez vous.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En deux temps.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D’abord par fichiers, compatibles avec votre SAP actuel. Puis par les API de S/4HANA, une fois la migration faite, avec les mêmes données.</w:t>
      </w:r>
    </w:p>
    <w:p>
      <w:pPr>
        <w:keepNext/>
        <w:pBdr>
          <w:bottom w:val="single" w:color="E2E5E1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4181A"/>
          <w:sz w:val="30"/>
          <w:szCs w:val="30"/>
        </w:rPr>
        <w:t xml:space="preserve">2. Le déroulé d’un inventaire fiscal</w:t>
      </w:r>
    </w:p>
    <w:p>
      <w:pPr>
        <w:tabs>
          <w:tab w:val="left" w:pos="400"/>
        </w:tabs>
        <w:spacing w:after="100" w:line="280"/>
        <w:ind w:left="400" w:hanging="400"/>
      </w:pPr>
      <w:r>
        <w:rPr>
          <w:rFonts w:ascii="Arial" w:cs="Arial" w:eastAsia="Arial" w:hAnsi="Arial"/>
          <w:b/>
          <w:bCs/>
          <w:color w:val="1E4D3B"/>
          <w:sz w:val="20"/>
          <w:szCs w:val="20"/>
        </w:rPr>
        <w:t xml:space="preserve">1.	</w:t>
      </w: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Création du document d’inventaire dans SAP.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Par exemple par MI01 ou MI31, selon votre pratique. Le stock théorique est figé à ce moment.</w:t>
      </w:r>
    </w:p>
    <w:p>
      <w:pPr>
        <w:tabs>
          <w:tab w:val="left" w:pos="400"/>
        </w:tabs>
        <w:spacing w:after="100" w:line="280"/>
        <w:ind w:left="400" w:hanging="400"/>
      </w:pPr>
      <w:r>
        <w:rPr>
          <w:rFonts w:ascii="Arial" w:cs="Arial" w:eastAsia="Arial" w:hAnsi="Arial"/>
          <w:b/>
          <w:bCs/>
          <w:color w:val="1E4D3B"/>
          <w:sz w:val="20"/>
          <w:szCs w:val="20"/>
        </w:rPr>
        <w:t xml:space="preserve">2.	</w:t>
      </w: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Export automatique.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Votre SI dépose chez Quantinvo le référentiel et le stock théorique du document.</w:t>
      </w:r>
    </w:p>
    <w:p>
      <w:pPr>
        <w:tabs>
          <w:tab w:val="left" w:pos="400"/>
        </w:tabs>
        <w:spacing w:after="100" w:line="280"/>
        <w:ind w:left="400" w:hanging="400"/>
      </w:pPr>
      <w:r>
        <w:rPr>
          <w:rFonts w:ascii="Arial" w:cs="Arial" w:eastAsia="Arial" w:hAnsi="Arial"/>
          <w:b/>
          <w:bCs/>
          <w:color w:val="1E4D3B"/>
          <w:sz w:val="20"/>
          <w:szCs w:val="20"/>
        </w:rPr>
        <w:t xml:space="preserve">3.	</w:t>
      </w: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Préparation dans Quantinvo.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L’inventaire est créé pour le magasin, avec ses articles et ses quantités attendues.</w:t>
      </w:r>
    </w:p>
    <w:p>
      <w:pPr>
        <w:tabs>
          <w:tab w:val="left" w:pos="400"/>
        </w:tabs>
        <w:spacing w:after="100" w:line="280"/>
        <w:ind w:left="400" w:hanging="400"/>
      </w:pPr>
      <w:r>
        <w:rPr>
          <w:rFonts w:ascii="Arial" w:cs="Arial" w:eastAsia="Arial" w:hAnsi="Arial"/>
          <w:b/>
          <w:bCs/>
          <w:color w:val="1E4D3B"/>
          <w:sz w:val="20"/>
          <w:szCs w:val="20"/>
        </w:rPr>
        <w:t xml:space="preserve">4.	</w:t>
      </w: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Comptage.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Les équipes comptent avec leur téléphone. Le superviseur suit l’avancement et arbitre les écarts.</w:t>
      </w:r>
    </w:p>
    <w:p>
      <w:pPr>
        <w:tabs>
          <w:tab w:val="left" w:pos="400"/>
        </w:tabs>
        <w:spacing w:after="100" w:line="280"/>
        <w:ind w:left="400" w:hanging="400"/>
      </w:pPr>
      <w:r>
        <w:rPr>
          <w:rFonts w:ascii="Arial" w:cs="Arial" w:eastAsia="Arial" w:hAnsi="Arial"/>
          <w:b/>
          <w:bCs/>
          <w:color w:val="1E4D3B"/>
          <w:sz w:val="20"/>
          <w:szCs w:val="20"/>
        </w:rPr>
        <w:t xml:space="preserve">5.	</w:t>
      </w: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Clôture.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Le superviseur clôture l’inventaire dans Quantinvo. Les quantités sont alors définitives.</w:t>
      </w:r>
    </w:p>
    <w:p>
      <w:pPr>
        <w:tabs>
          <w:tab w:val="left" w:pos="400"/>
        </w:tabs>
        <w:spacing w:after="100" w:line="280"/>
        <w:ind w:left="400" w:hanging="400"/>
      </w:pPr>
      <w:r>
        <w:rPr>
          <w:rFonts w:ascii="Arial" w:cs="Arial" w:eastAsia="Arial" w:hAnsi="Arial"/>
          <w:b/>
          <w:bCs/>
          <w:color w:val="1E4D3B"/>
          <w:sz w:val="20"/>
          <w:szCs w:val="20"/>
        </w:rPr>
        <w:t xml:space="preserve">6.	</w:t>
      </w: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Récupération des résultats.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Votre SI récupère le fichier des quantités comptées.</w:t>
      </w:r>
    </w:p>
    <w:p>
      <w:pPr>
        <w:tabs>
          <w:tab w:val="left" w:pos="400"/>
        </w:tabs>
        <w:spacing w:after="100" w:line="280"/>
        <w:ind w:left="400" w:hanging="400"/>
      </w:pPr>
      <w:r>
        <w:rPr>
          <w:rFonts w:ascii="Arial" w:cs="Arial" w:eastAsia="Arial" w:hAnsi="Arial"/>
          <w:b/>
          <w:bCs/>
          <w:color w:val="1E4D3B"/>
          <w:sz w:val="20"/>
          <w:szCs w:val="20"/>
        </w:rPr>
        <w:t xml:space="preserve">7.	</w:t>
      </w: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Saisie et comptabilisation dans SAP.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Votre SI saisit le comptage sur le document (par exemple MI04), puis vos équipes comptabilisent les écarts (MI07). Cette dernière étape reste dans SAP, sous votre contrôle.</w:t>
      </w:r>
    </w:p>
    <w:p>
      <w:pPr>
        <w:keepNext/>
        <w:pBdr>
          <w:bottom w:val="single" w:color="E2E5E1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4181A"/>
          <w:sz w:val="30"/>
          <w:szCs w:val="30"/>
        </w:rPr>
        <w:t xml:space="preserve">3. Flux 1 — Le référentiel articles</w:t>
      </w:r>
    </w:p>
    <w:p>
      <w:pPr>
        <w:keepNext/>
        <w:spacing w:after="100" w:line="276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Un fichier par magasin. Une ligne par code-barres : un article qui a plusieurs EAN a plusieurs lignes, avec le même code article.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94"/>
        <w:gridCol w:w="2071"/>
        <w:gridCol w:w="1224"/>
        <w:gridCol w:w="4424"/>
      </w:tblGrid>
      <w:tr>
        <w:trPr>
          <w:tblHeader/>
        </w:trPr>
        <w:tc>
          <w:tcPr>
            <w:tcW w:type="dxa" w:w="16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Donnée Quantinvo</w:t>
            </w:r>
          </w:p>
        </w:tc>
        <w:tc>
          <w:tcPr>
            <w:tcW w:type="dxa" w:w="2071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Champ SAP proposé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44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16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SKU</w:t>
            </w:r>
          </w:p>
        </w:tc>
        <w:tc>
          <w:tcPr>
            <w:tcW w:type="dxa" w:w="2071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MATNR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Oui</w:t>
            </w:r>
          </w:p>
        </w:tc>
        <w:tc>
          <w:tcPr>
            <w:tcW w:type="dxa" w:w="44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En texte, zéros de tête conservés.</w:t>
            </w:r>
          </w:p>
        </w:tc>
      </w:tr>
      <w:tr>
        <w:trPr>
          <w:cantSplit/>
        </w:trPr>
        <w:tc>
          <w:tcPr>
            <w:tcW w:type="dxa" w:w="16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EAN</w:t>
            </w:r>
          </w:p>
        </w:tc>
        <w:tc>
          <w:tcPr>
            <w:tcW w:type="dxa" w:w="2071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EAN11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Oui</w:t>
            </w:r>
          </w:p>
        </w:tc>
        <w:tc>
          <w:tcPr>
            <w:tcW w:type="dxa" w:w="44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C’est ce que lit le téléphone.</w:t>
            </w:r>
          </w:p>
        </w:tc>
      </w:tr>
      <w:tr>
        <w:trPr>
          <w:cantSplit/>
        </w:trPr>
        <w:tc>
          <w:tcPr>
            <w:tcW w:type="dxa" w:w="16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Libellé</w:t>
            </w:r>
          </w:p>
        </w:tc>
        <w:tc>
          <w:tcPr>
            <w:tcW w:type="dxa" w:w="2071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MAKTX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Oui</w:t>
            </w:r>
          </w:p>
        </w:tc>
        <w:tc>
          <w:tcPr>
            <w:tcW w:type="dxa" w:w="44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Affiché au comptage et au rapport.</w:t>
            </w:r>
          </w:p>
        </w:tc>
      </w:tr>
      <w:tr>
        <w:trPr>
          <w:cantSplit/>
        </w:trPr>
        <w:tc>
          <w:tcPr>
            <w:tcW w:type="dxa" w:w="16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Marque</w:t>
            </w:r>
          </w:p>
        </w:tc>
        <w:tc>
          <w:tcPr>
            <w:tcW w:type="dxa" w:w="2071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À définir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Non</w:t>
            </w:r>
          </w:p>
        </w:tc>
        <w:tc>
          <w:tcPr>
            <w:tcW w:type="dxa" w:w="44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Aide à reconnaître l’article.</w:t>
            </w:r>
          </w:p>
        </w:tc>
      </w:tr>
      <w:tr>
        <w:trPr>
          <w:cantSplit/>
        </w:trPr>
        <w:tc>
          <w:tcPr>
            <w:tcW w:type="dxa" w:w="16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Prix d’achat</w:t>
            </w:r>
          </w:p>
        </w:tc>
        <w:tc>
          <w:tcPr>
            <w:tcW w:type="dxa" w:w="2071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Valorisation (MBEW)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Non</w:t>
            </w:r>
          </w:p>
        </w:tc>
        <w:tc>
          <w:tcPr>
            <w:tcW w:type="dxa" w:w="44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Sans lui, l’écart en valeur vaut zéro.</w:t>
            </w:r>
          </w:p>
        </w:tc>
      </w:tr>
      <w:tr>
        <w:trPr>
          <w:cantSplit/>
        </w:trPr>
        <w:tc>
          <w:tcPr>
            <w:tcW w:type="dxa" w:w="16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Unité</w:t>
            </w:r>
          </w:p>
        </w:tc>
        <w:tc>
          <w:tcPr>
            <w:tcW w:type="dxa" w:w="2071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MEINS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Non</w:t>
            </w:r>
          </w:p>
        </w:tc>
        <w:tc>
          <w:tcPr>
            <w:tcW w:type="dxa" w:w="44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Voir la section 7.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Aujourd’hui.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Quantinvo importe déjà ce fichier à la main, en CSV ou Excel. Il reconnaît les noms de colonnes courants : SKU ou Code article, EAN ou Gencod, Libellé ou Désignation, Marque, Prix d’achat.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À construire.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Le dépôt automatique, et la reconnaissance des noms de champs SAP.</w:t>
      </w:r>
    </w:p>
    <w:p>
      <w:pPr>
        <w:keepNext/>
        <w:pBdr>
          <w:bottom w:val="single" w:color="E2E5E1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4181A"/>
          <w:sz w:val="30"/>
          <w:szCs w:val="30"/>
        </w:rPr>
        <w:t xml:space="preserve">4. Flux 2 — Le stock théorique figé</w:t>
      </w:r>
    </w:p>
    <w:p>
      <w:pPr>
        <w:keepNext/>
        <w:spacing w:after="100" w:line="276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Un fichier par document d’inventaire SAP. Une ligne par poste du document.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47"/>
        <w:gridCol w:w="1882"/>
        <w:gridCol w:w="1224"/>
        <w:gridCol w:w="3859"/>
      </w:tblGrid>
      <w:tr>
        <w:trPr>
          <w:tblHeader/>
        </w:trPr>
        <w:tc>
          <w:tcPr>
            <w:tcW w:type="dxa" w:w="2447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Donnée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Champ SAP proposé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Obligatoire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2447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Document d’inventaire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IBLNR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Oui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Repris tel quel dans le retour.</w:t>
            </w:r>
          </w:p>
        </w:tc>
      </w:tr>
      <w:tr>
        <w:trPr>
          <w:cantSplit/>
        </w:trPr>
        <w:tc>
          <w:tcPr>
            <w:tcW w:type="dxa" w:w="2447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Exercice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GJAHR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Oui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2447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Poste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ZEILI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Oui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2447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Magasin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WERKS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Oui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Relie le document à un magasin Quantinvo.</w:t>
            </w:r>
          </w:p>
        </w:tc>
      </w:tr>
      <w:tr>
        <w:trPr>
          <w:cantSplit/>
        </w:trPr>
        <w:tc>
          <w:tcPr>
            <w:tcW w:type="dxa" w:w="2447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Emplacement de stockage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LGORT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Oui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Repris dans le retour.</w:t>
            </w:r>
          </w:p>
        </w:tc>
      </w:tr>
      <w:tr>
        <w:trPr>
          <w:cantSplit/>
        </w:trPr>
        <w:tc>
          <w:tcPr>
            <w:tcW w:type="dxa" w:w="2447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SKU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MATNR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Oui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Doit exister dans le référentiel.</w:t>
            </w:r>
          </w:p>
        </w:tc>
      </w:tr>
      <w:tr>
        <w:trPr>
          <w:cantSplit/>
        </w:trPr>
        <w:tc>
          <w:tcPr>
            <w:tcW w:type="dxa" w:w="2447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Quantité théorique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BUCHM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Oui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Le stock figé à la création du document.</w:t>
            </w:r>
          </w:p>
        </w:tc>
      </w:tr>
      <w:tr>
        <w:trPr>
          <w:cantSplit/>
        </w:trPr>
        <w:tc>
          <w:tcPr>
            <w:tcW w:type="dxa" w:w="2447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Unité</w:t>
            </w:r>
          </w:p>
        </w:tc>
        <w:tc>
          <w:tcPr>
            <w:tcW w:type="dxa" w:w="1882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MEINS</w:t>
            </w:r>
          </w:p>
        </w:tc>
        <w:tc>
          <w:tcPr>
            <w:tcW w:type="dxa" w:w="12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Non</w:t>
            </w:r>
          </w:p>
        </w:tc>
        <w:tc>
          <w:tcPr>
            <w:tcW w:type="dxa" w:w="3859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Voir la section 7.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Aujourd’hui.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Quantinvo importe le stock théorique à la main, avec deux colonnes : SKU et quantité.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À construire.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Le dépôt automatique, la conservation des références SAP (document, exercice, poste, emplacement de stockage) et la création automatique de l’inventaire.</w:t>
      </w:r>
    </w:p>
    <w:p>
      <w:pPr>
        <w:keepNext/>
        <w:pBdr>
          <w:bottom w:val="single" w:color="E2E5E1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4181A"/>
          <w:sz w:val="30"/>
          <w:szCs w:val="30"/>
        </w:rPr>
        <w:t xml:space="preserve">5. Flux 3 — Les résultats de comptage</w:t>
      </w:r>
    </w:p>
    <w:p>
      <w:pPr>
        <w:keepNext/>
        <w:spacing w:after="100" w:line="276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Un fichier par document d’inventaire, disponible dès la clôture dans Quantinvo. Une ligne par poste du document.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24"/>
        <w:gridCol w:w="2635"/>
        <w:gridCol w:w="3953"/>
      </w:tblGrid>
      <w:tr>
        <w:trPr>
          <w:tblHeader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Donnée</w:t>
            </w:r>
          </w:p>
        </w:tc>
        <w:tc>
          <w:tcPr>
            <w:tcW w:type="dxa" w:w="2635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Champ SAP proposé</w:t>
            </w:r>
          </w:p>
        </w:tc>
        <w:tc>
          <w:tcPr>
            <w:tcW w:type="dxa" w:w="3953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Document, exercice, poste</w:t>
            </w:r>
          </w:p>
        </w:tc>
        <w:tc>
          <w:tcPr>
            <w:tcW w:type="dxa" w:w="2635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IBLNR, GJAHR, ZEILI</w:t>
            </w:r>
          </w:p>
        </w:tc>
        <w:tc>
          <w:tcPr>
            <w:tcW w:type="dxa" w:w="3953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Ceux reçus au flux 2.</w:t>
            </w:r>
          </w:p>
        </w:tc>
      </w:tr>
      <w:tr>
        <w:trPr>
          <w:cantSplit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Magasin, emplacement</w:t>
            </w:r>
          </w:p>
        </w:tc>
        <w:tc>
          <w:tcPr>
            <w:tcW w:type="dxa" w:w="2635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WERKS, LGORT</w:t>
            </w:r>
          </w:p>
        </w:tc>
        <w:tc>
          <w:tcPr>
            <w:tcW w:type="dxa" w:w="3953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SKU</w:t>
            </w:r>
          </w:p>
        </w:tc>
        <w:tc>
          <w:tcPr>
            <w:tcW w:type="dxa" w:w="2635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MATNR</w:t>
            </w:r>
          </w:p>
        </w:tc>
        <w:tc>
          <w:tcPr>
            <w:tcW w:type="dxa" w:w="3953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Idem.</w:t>
            </w:r>
          </w:p>
        </w:tc>
      </w:tr>
      <w:tr>
        <w:trPr>
          <w:cantSplit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Quantité comptée</w:t>
            </w:r>
          </w:p>
        </w:tc>
        <w:tc>
          <w:tcPr>
            <w:tcW w:type="dxa" w:w="2635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ERFMG</w:t>
            </w:r>
          </w:p>
        </w:tc>
        <w:tc>
          <w:tcPr>
            <w:tcW w:type="dxa" w:w="3953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La quantité retenue par Quantinvo.</w:t>
            </w:r>
          </w:p>
        </w:tc>
      </w:tr>
      <w:tr>
        <w:trPr>
          <w:cantSplit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Unité</w:t>
            </w:r>
          </w:p>
        </w:tc>
        <w:tc>
          <w:tcPr>
            <w:tcW w:type="dxa" w:w="2635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ERFME</w:t>
            </w:r>
          </w:p>
        </w:tc>
        <w:tc>
          <w:tcPr>
            <w:tcW w:type="dxa" w:w="3953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Celle reçue au flux 2.</w:t>
            </w:r>
          </w:p>
        </w:tc>
      </w:tr>
      <w:tr>
        <w:trPr>
          <w:cantSplit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Compté à zéro</w:t>
            </w:r>
          </w:p>
        </w:tc>
        <w:tc>
          <w:tcPr>
            <w:tcW w:type="dxa" w:w="2635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XNULL</w:t>
            </w:r>
          </w:p>
        </w:tc>
        <w:tc>
          <w:tcPr>
            <w:tcW w:type="dxa" w:w="3953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« X » quand la quantité comptée vaut zéro.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La quantité retenue.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C’est l’arbitrage du superviseur s’il existe, sinon la quantité de l’auditeur, sinon celle du compteur. C’est la même règle que dans le rapport Quantinvo.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Un article attendu que personne n’a trouvé.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Il revient avec une quantité de zéro et l’indicateur « X ».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Un article trouvé hors du document.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Il revient dans un second fichier, avec son code article ou son EAN et sa quantité. Il ne peut pas être saisi sur un poste qui n’existe pas : votre équipe décide de son traitement dans SAP.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Aucun nom de personne.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Les fichiers de retour ne contiennent que des articles et des quantités.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Aujourd’hui.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Quantinvo produit un rapport Excel à deux feuilles, « Écarts » et « Détail par zone », téléchargé à la main.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À construire.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Le fichier de retour au format ci-dessus, et sa mise à disposition automatique.</w:t>
      </w:r>
    </w:p>
    <w:p>
      <w:pPr>
        <w:keepNext/>
        <w:pBdr>
          <w:bottom w:val="single" w:color="E2E5E1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4181A"/>
          <w:sz w:val="30"/>
          <w:szCs w:val="30"/>
        </w:rPr>
        <w:t xml:space="preserve">6. Format, transport et sécurité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14181A"/>
          <w:sz w:val="23"/>
          <w:szCs w:val="23"/>
        </w:rPr>
        <w:t xml:space="preserve">Format des fichiers</w:t>
      </w:r>
    </w:p>
    <w:p>
      <w:pPr>
        <w:tabs>
          <w:tab w:val="left" w:pos="360"/>
        </w:tabs>
        <w:spacing w:after="80" w:line="280"/>
        <w:ind w:left="360" w:hanging="360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–	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CSV en UTF-8, séparateur point-virgule, première ligne pour les en-têtes. Excel (.xlsx) également accepté à l’import.</w:t>
      </w:r>
    </w:p>
    <w:p>
      <w:pPr>
        <w:tabs>
          <w:tab w:val="left" w:pos="360"/>
        </w:tabs>
        <w:spacing w:after="80" w:line="280"/>
        <w:ind w:left="360" w:hanging="360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–	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Codes en texte : les zéros de tête des numéros d’article sont conservés.</w:t>
      </w:r>
    </w:p>
    <w:p>
      <w:pPr>
        <w:tabs>
          <w:tab w:val="left" w:pos="360"/>
        </w:tabs>
        <w:spacing w:after="80" w:line="280"/>
        <w:ind w:left="360" w:hanging="360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–	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Décimales avec un point ou une virgule.</w:t>
      </w:r>
    </w:p>
    <w:p>
      <w:pPr>
        <w:tabs>
          <w:tab w:val="left" w:pos="360"/>
        </w:tabs>
        <w:spacing w:after="80" w:line="280"/>
        <w:ind w:left="360" w:hanging="360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–	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Jusqu’à 100 000 références par inventaire.</w:t>
      </w:r>
    </w:p>
    <w:p>
      <w:pPr>
        <w:tabs>
          <w:tab w:val="left" w:pos="360"/>
        </w:tabs>
        <w:spacing w:after="80" w:line="280"/>
        <w:ind w:left="360" w:hanging="360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–	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Nom de fichier proposé : QTV_&lt;WERKS&gt;_&lt;IBLNR&gt;_&lt;GJAHR&gt;_&lt;type&gt;.csv, où &lt;type&gt; vaut ARTICLES, STOCK ou COMPTAGE.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14181A"/>
          <w:sz w:val="23"/>
          <w:szCs w:val="23"/>
        </w:rPr>
        <w:t xml:space="preserve">Transport</w:t>
      </w:r>
    </w:p>
    <w:p>
      <w:pPr>
        <w:tabs>
          <w:tab w:val="left" w:pos="360"/>
        </w:tabs>
        <w:spacing w:after="80" w:line="280"/>
        <w:ind w:left="360" w:hanging="360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–	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HTTPS uniquement, toujours à l’initiative de votre SI : dépôt des fichiers, puis récupération des résultats.</w:t>
      </w:r>
    </w:p>
    <w:p>
      <w:pPr>
        <w:tabs>
          <w:tab w:val="left" w:pos="360"/>
        </w:tabs>
        <w:spacing w:after="80" w:line="280"/>
        <w:ind w:left="360" w:hanging="360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–	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Un accusé de réception pour chaque dépôt : nombre de lignes lues, lignes refusées et motif.</w:t>
      </w:r>
    </w:p>
    <w:p>
      <w:pPr>
        <w:tabs>
          <w:tab w:val="left" w:pos="360"/>
        </w:tabs>
        <w:spacing w:after="80" w:line="280"/>
        <w:ind w:left="360" w:hanging="360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–	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Un fichier aux en-têtes invalides est refusé en entier, jamais importé à moitié.</w:t>
      </w:r>
    </w:p>
    <w:p>
      <w:pPr>
        <w:tabs>
          <w:tab w:val="left" w:pos="360"/>
        </w:tabs>
        <w:spacing w:after="80" w:line="280"/>
        <w:ind w:left="360" w:hanging="360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–	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Un journal des dépôts et des récupérations, consultable par l’administrateur d’entreprise.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14181A"/>
          <w:sz w:val="23"/>
          <w:szCs w:val="23"/>
        </w:rPr>
        <w:t xml:space="preserve">Sécurité</w:t>
      </w:r>
    </w:p>
    <w:p>
      <w:pPr>
        <w:tabs>
          <w:tab w:val="left" w:pos="360"/>
        </w:tabs>
        <w:spacing w:after="80" w:line="280"/>
        <w:ind w:left="360" w:hanging="360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–	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Une clé technique propre à votre entreprise, révocable à tout moment, sans accès à un autre client.</w:t>
      </w:r>
    </w:p>
    <w:p>
      <w:pPr>
        <w:tabs>
          <w:tab w:val="left" w:pos="360"/>
        </w:tabs>
        <w:spacing w:after="80" w:line="280"/>
        <w:ind w:left="360" w:hanging="360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–	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En option, la limitation des appels aux adresses IP de votre SI.</w:t>
      </w:r>
    </w:p>
    <w:p>
      <w:pPr>
        <w:tabs>
          <w:tab w:val="left" w:pos="360"/>
        </w:tabs>
        <w:spacing w:after="80" w:line="280"/>
        <w:ind w:left="360" w:hanging="360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–	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Les données sont hébergées dans l’Union européenne, en Irlande, comme le reste de Quantinvo. Le dossier technique Quantinvo détaille l’hébergement, les accès et la conservation.</w:t>
      </w:r>
    </w:p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1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À construire</w:t>
            </w:r>
          </w:p>
          <w:p>
            <w:pPr>
              <w:spacing w:line="280"/>
            </w:pPr>
            <w:r>
              <w:rPr>
                <w:rFonts w:ascii="Arial" w:cs="Arial" w:eastAsia="Arial" w:hAnsi="Arial"/>
                <w:color w:val="3A423F"/>
                <w:sz w:val="20"/>
                <w:szCs w:val="20"/>
              </w:rPr>
              <w:t xml:space="preserve">Les adresses d’appel, la clé technique, l’accusé de réception et le journal. Ils seront décrits précisément dans la version suivante de ce document, après vos retours.</w:t>
            </w:r>
          </w:p>
        </w:tc>
      </w:tr>
    </w:tbl>
    <w:p>
      <w:pPr>
        <w:keepNext/>
        <w:pBdr>
          <w:bottom w:val="single" w:color="E2E5E1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4181A"/>
          <w:sz w:val="30"/>
          <w:szCs w:val="30"/>
        </w:rPr>
        <w:t xml:space="preserve">7. À décider ensemble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Les unités.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Quantinvo compte des pièces : chaque lecture ajoute une unité. Les articles gérés au poids ou au mètre demandent une règle à définir.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Les EAN multiples.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Confirmer que l’export peut sortir tous les EAN d’un article, une ligne par EAN.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La valorisation.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Choisir le prix qui donne l’écart en valeur : prix moyen pondéré, prix standard, ou aucun.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Les emplacements de stockage.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Un document peut couvrir plusieurs emplacements. Faut-il un inventaire Quantinvo par emplacement, ou un seul par magasin ?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Les lots et numéros de série.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Quantinvo ne les gère pas aujourd’hui. Les articles concernés sont-ils dans le périmètre ?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Le calendrier S/4HANA.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La date de migration fixe le moment où les fichiers pourront laisser la place aux API.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Les contacts.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Un interlocuteur technique de chaque côté, et un magasin pilote.</w:t>
      </w:r>
    </w:p>
    <w:p>
      <w:pPr>
        <w:keepNext/>
        <w:pBdr>
          <w:bottom w:val="single" w:color="E2E5E1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4181A"/>
          <w:sz w:val="30"/>
          <w:szCs w:val="30"/>
        </w:rPr>
        <w:t xml:space="preserve">8. Après la migration vers S/4HANA</w:t>
      </w:r>
    </w:p>
    <w:p>
      <w:pPr>
        <w:spacing w:after="100" w:line="276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S/4HANA publie des API standard pour les documents d’inventaire, comme le service API_PHYSICAL_INVENTORY_DOC_SRV. Elles permettent de lire les postes d’un document et d’y saisir les comptages.</w:t>
      </w:r>
    </w:p>
    <w:p>
      <w:pPr>
        <w:spacing w:after="100" w:line="276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Les données échangées restent celles des sections 3 à 5. Seul le transport change : un appel d’API remplace le dépôt de fichier.</w:t>
      </w:r>
    </w:p>
    <w:p>
      <w:pPr>
        <w:spacing w:after="100" w:line="276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Si SAP reste installé chez vous, cet accès passe par vos outils d’intégration, que votre DSI choisit. Le branchement exact est à valider avec elle, le moment venu.</w:t>
      </w:r>
    </w:p>
    <w:p>
      <w:pPr>
        <w:keepNext/>
        <w:pBdr>
          <w:bottom w:val="single" w:color="E2E5E1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4181A"/>
          <w:sz w:val="30"/>
          <w:szCs w:val="30"/>
        </w:rPr>
        <w:t xml:space="preserve">9. Qui fait quoi</w:t>
      </w:r>
    </w:p>
    <w:tbl>
      <w:tblPr>
        <w:tblW w:type="dxa" w:w="94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24"/>
        <w:gridCol w:w="3294"/>
        <w:gridCol w:w="3294"/>
      </w:tblGrid>
      <w:tr>
        <w:trPr>
          <w:tblHeader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Tâche</w:t>
            </w:r>
          </w:p>
        </w:tc>
        <w:tc>
          <w:tcPr>
            <w:tcW w:type="dxa" w:w="32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Votre DSI</w:t>
            </w:r>
          </w:p>
        </w:tc>
        <w:tc>
          <w:tcPr>
            <w:tcW w:type="dxa" w:w="32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shd w:fill="F2F3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575F5C"/>
                <w:sz w:val="17"/>
                <w:szCs w:val="17"/>
              </w:rPr>
              <w:t xml:space="preserve">Quantinvo</w:t>
            </w:r>
          </w:p>
        </w:tc>
      </w:tr>
      <w:tr>
        <w:trPr>
          <w:cantSplit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Export du référentiel et du stock</w:t>
            </w:r>
          </w:p>
        </w:tc>
        <w:tc>
          <w:tcPr>
            <w:tcW w:type="dxa" w:w="32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Programme l’export SAP et le dépôt</w:t>
            </w:r>
          </w:p>
        </w:tc>
        <w:tc>
          <w:tcPr>
            <w:tcW w:type="dxa" w:w="32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Reçoit, contrôle, prépare l’inventaire</w:t>
            </w:r>
          </w:p>
        </w:tc>
      </w:tr>
      <w:tr>
        <w:trPr>
          <w:cantSplit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Retour des comptages</w:t>
            </w:r>
          </w:p>
        </w:tc>
        <w:tc>
          <w:tcPr>
            <w:tcW w:type="dxa" w:w="32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Récupère le fichier et le saisit dans SAP</w:t>
            </w:r>
          </w:p>
        </w:tc>
        <w:tc>
          <w:tcPr>
            <w:tcW w:type="dxa" w:w="32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Produit le fichier à la clôture</w:t>
            </w:r>
          </w:p>
        </w:tc>
      </w:tr>
      <w:tr>
        <w:trPr>
          <w:cantSplit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Sécurité</w:t>
            </w:r>
          </w:p>
        </w:tc>
        <w:tc>
          <w:tcPr>
            <w:tcW w:type="dxa" w:w="32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Conserve la clé technique</w:t>
            </w:r>
          </w:p>
        </w:tc>
        <w:tc>
          <w:tcPr>
            <w:tcW w:type="dxa" w:w="32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Crée la clé et journalise les échanges</w:t>
            </w:r>
          </w:p>
        </w:tc>
      </w:tr>
      <w:tr>
        <w:trPr>
          <w:cantSplit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Échantillons</w:t>
            </w:r>
          </w:p>
        </w:tc>
        <w:tc>
          <w:tcPr>
            <w:tcW w:type="dxa" w:w="32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Fournit un document réel anonymisé</w:t>
            </w:r>
          </w:p>
        </w:tc>
        <w:tc>
          <w:tcPr>
            <w:tcW w:type="dxa" w:w="32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Valide les formats sur cet échantillon</w:t>
            </w:r>
          </w:p>
        </w:tc>
      </w:tr>
      <w:tr>
        <w:trPr>
          <w:cantSplit/>
        </w:trPr>
        <w:tc>
          <w:tcPr>
            <w:tcW w:type="dxa" w:w="282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14181A"/>
                <w:sz w:val="19"/>
                <w:szCs w:val="19"/>
              </w:rPr>
              <w:t xml:space="preserve">Recette</w:t>
            </w:r>
          </w:p>
        </w:tc>
        <w:tc>
          <w:tcPr>
            <w:tcW w:type="dxa" w:w="32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Un magasin pilote</w:t>
            </w:r>
          </w:p>
        </w:tc>
        <w:tc>
          <w:tcPr>
            <w:tcW w:type="dxa" w:w="3294"/>
            <w:tcBorders>
              <w:top w:val="none" w:color="FFFFFF" w:sz="0"/>
              <w:left w:val="none" w:color="FFFFFF" w:sz="0"/>
              <w:bottom w:val="single" w:color="E2E5E1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A423F"/>
                <w:sz w:val="19"/>
                <w:szCs w:val="19"/>
              </w:rPr>
              <w:t xml:space="preserve">Accompagne le premier inventaire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14181A"/>
          <w:sz w:val="23"/>
          <w:szCs w:val="23"/>
        </w:rPr>
        <w:t xml:space="preserve">Prochaine étape</w:t>
      </w:r>
    </w:p>
    <w:p>
      <w:pPr>
        <w:spacing w:after="100" w:line="276"/>
      </w:pPr>
      <w:r>
        <w:rPr>
          <w:rFonts w:ascii="Arial" w:cs="Arial" w:eastAsia="Arial" w:hAnsi="Arial"/>
          <w:color w:val="3A423F"/>
          <w:sz w:val="20"/>
          <w:szCs w:val="20"/>
        </w:rPr>
        <w:t xml:space="preserve">Vos retours sur la section 7, et un échantillon de fichier extrait de SAP. Nous en tirons la version 0.2, avec les adresses d’appel et un planning.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14181A"/>
          <w:sz w:val="20"/>
          <w:szCs w:val="20"/>
        </w:rPr>
        <w:t xml:space="preserve">Contact : </w:t>
      </w:r>
      <w:r>
        <w:rPr>
          <w:rFonts w:ascii="Arial" w:cs="Arial" w:eastAsia="Arial" w:hAnsi="Arial"/>
          <w:color w:val="3A423F"/>
          <w:sz w:val="20"/>
          <w:szCs w:val="20"/>
        </w:rPr>
        <w:t xml:space="preserve">contact@quantinvo.com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400"/>
      </w:tabs>
    </w:pPr>
    <w:r>
      <w:rPr>
        <w:rFonts w:ascii="Arial" w:cs="Arial" w:eastAsia="Arial" w:hAnsi="Arial"/>
        <w:color w:val="575F5C"/>
        <w:sz w:val="16"/>
        <w:szCs w:val="16"/>
      </w:rPr>
      <w:t xml:space="preserve">Quantinvo · interface SAP · Version 0.1 — proposition</w:t>
    </w:r>
    <w:r>
      <w:rPr>
        <w:rFonts w:ascii="Arial" w:cs="Arial" w:eastAsia="Arial" w:hAnsi="Arial"/>
        <w:color w:val="3A423F"/>
        <w:sz w:val="16"/>
        <w:szCs w:val="16"/>
      </w:rPr>
      <w:t xml:space="preserve">	</w:t>
    </w:r>
    <w:r>
      <w:rPr>
        <w:rFonts w:ascii="Arial" w:cs="Arial" w:eastAsia="Arial" w:hAnsi="Arial"/>
        <w:color w:val="575F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Quantinvo — interface SAP</dc:title>
  <dc:creator>Devkaylab</dc:creator>
  <cp:lastModifiedBy>Un-named</cp:lastModifiedBy>
  <cp:revision>1</cp:revision>
  <dcterms:created xsi:type="dcterms:W3CDTF">2026-09-19T19:22:15.408Z</dcterms:created>
  <dcterms:modified xsi:type="dcterms:W3CDTF">2026-09-19T19:22:15.408Z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