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2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23"/>
        <w:gridCol w:w="4081"/>
        <w:gridCol w:w="5499"/>
      </w:tblGrid>
      <w:tr>
        <w:tc>
          <w:tcPr>
            <w:tcW w:type="dxa" w:w="623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81"/>
            <w:tcMar>
              <w:top w:type="dxa" w:w="0"/>
              <w:left w:type="dxa" w:w="141"/>
              <w:bottom w:type="dxa" w:w="0"/>
              <w:right w:type="dxa" w:w="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14181A"/>
                <w:sz w:val="30"/>
                <w:szCs w:val="30"/>
              </w:rPr>
              <w:t xml:space="preserve">Quantinvo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575F5C"/>
                <w:sz w:val="14"/>
                <w:szCs w:val="14"/>
              </w:rPr>
              <w:t xml:space="preserve">La fiabilisation du stock au quotidien</w:t>
            </w:r>
          </w:p>
        </w:tc>
        <w:tc>
          <w:tcPr>
            <w:tcW w:type="dxa" w:w="5499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color w:val="575F5C"/>
                <w:sz w:val="16"/>
                <w:szCs w:val="16"/>
              </w:rPr>
              <w:t xml:space="preserve">Fiche produit · application mobile</w:t>
            </w:r>
          </w:p>
        </w:tc>
      </w:tr>
    </w:tbl>
    <w:p>
      <w:pPr>
        <w:pBdr>
          <w:bottom w:val="single" w:color="14181A" w:sz="8" w:space="1"/>
        </w:pBdr>
        <w:spacing w:after="260" w:before="9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150" w:line="280"/>
      </w:pPr>
      <w:r>
        <w:rPr>
          <w:rFonts w:ascii="Arial" w:cs="Arial" w:eastAsia="Arial" w:hAnsi="Arial"/>
          <w:b/>
          <w:bCs/>
          <w:color w:val="14181A"/>
          <w:sz w:val="30"/>
          <w:szCs w:val="30"/>
        </w:rPr>
        <w:t xml:space="preserve">L’inventaire compté au téléphone</w:t>
      </w:r>
    </w:p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576"/>
        <w:gridCol w:w="3628"/>
      </w:tblGrid>
      <w:tr>
        <w:tc>
          <w:tcPr>
            <w:tcW w:type="dxa" w:w="6576"/>
            <w:tcMar>
              <w:top w:type="dxa" w:w="0"/>
              <w:left w:type="dxa" w:w="0"/>
              <w:bottom w:type="dxa" w:w="0"/>
              <w:right w:type="dxa" w:w="340"/>
            </w:tcMar>
          </w:tcPr>
          <w:p>
            <w:pPr>
              <w:spacing w:after="0" w:before="0" w:line="280"/>
            </w:pPr>
            <w:r>
              <w:rPr>
                <w:rFonts w:ascii="Arial" w:cs="Arial" w:eastAsia="Arial" w:hAnsi="Arial"/>
                <w:color w:val="3A423F"/>
                <w:sz w:val="18"/>
                <w:szCs w:val="18"/>
              </w:rPr>
              <w:t xml:space="preserve">Quantinvo est un outil d’inventaire pour le commerce de détail. Le site prépare et pilote la session — fichiers, emplacements, équipe, rapport. L’application fait le travail de terrain : elle compte, en rayon, avec le téléphone que chacun a déjà en poche.</w:t>
            </w:r>
          </w:p>
        </w:tc>
        <w:tc>
          <w:tcPr>
            <w:tcW w:type="dxa" w:w="3628"/>
            <w:shd w:fill="E7EDE9" w:color="auto" w:val="clear"/>
            <w:tcMar>
              <w:top w:type="dxa" w:w="136"/>
              <w:left w:type="dxa" w:w="192"/>
              <w:bottom w:type="dxa" w:w="136"/>
              <w:right w:type="dxa" w:w="192"/>
            </w:tcMar>
          </w:tcPr>
          <w:p>
            <w:pPr>
              <w:spacing w:after="50" w:before="0" w:line="250"/>
            </w:pPr>
            <w:r>
              <w:rPr>
                <w:rFonts w:ascii="Arial" w:cs="Arial" w:eastAsia="Arial" w:hAnsi="Arial"/>
                <w:b/>
                <w:bCs/>
                <w:color w:val="14181A"/>
                <w:sz w:val="17"/>
                <w:szCs w:val="17"/>
              </w:rPr>
              <w:t xml:space="preserve">Une licence par magasin.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3A423F"/>
                <w:sz w:val="16"/>
                <w:szCs w:val="16"/>
              </w:rPr>
              <w:t xml:space="preserve">Une équipe illimitée, aucun matériel à louer : chacun compte avec le téléphone qu’il a déjà.</w:t>
            </w:r>
          </w:p>
        </w:tc>
      </w:tr>
    </w:tbl>
    <w:p>
      <w:pPr>
        <w:pBdr>
          <w:bottom w:val="single" w:color="E2E5E1" w:sz="4" w:space="4"/>
        </w:pBdr>
        <w:spacing w:after="80" w:before="160"/>
      </w:pPr>
      <w:r>
        <w:rPr>
          <w:rFonts w:ascii="Arial" w:cs="Arial" w:eastAsia="Arial" w:hAnsi="Arial"/>
          <w:b/>
          <w:bCs/>
          <w:color w:val="14181A"/>
          <w:spacing w:val="24"/>
          <w:sz w:val="15"/>
          <w:szCs w:val="15"/>
        </w:rPr>
        <w:t xml:space="preserve">CE QUE FAIT L’APPLICATION</w:t>
      </w:r>
    </w:p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340"/>
        <w:gridCol w:w="4932"/>
      </w:tblGrid>
      <w:tr>
        <w:tc>
          <w:tcPr>
            <w:tcW w:type="dxa" w:w="4932"/>
            <w:tcMar>
              <w:top w:type="dxa" w:w="0"/>
              <w:left w:type="dxa" w:w="0"/>
              <w:bottom w:type="dxa" w:w="0"/>
              <w:right w:type="dxa" w:w="170"/>
            </w:tcMar>
          </w:tcPr>
          <w:p>
            <w:pPr>
              <w:spacing w:after="70" w:line="250"/>
              <w:ind w:left="0" w:hanging="204"/>
            </w:pPr>
            <w:r>
              <w:rPr>
                <w:rFonts w:ascii="Arial" w:cs="Arial" w:eastAsia="Arial" w:hAnsi="Arial"/>
                <w:b/>
                <w:bCs/>
                <w:color w:val="1E4D3B"/>
                <w:sz w:val="17"/>
                <w:szCs w:val="17"/>
              </w:rPr>
              <w:t xml:space="preserve">— </w:t>
            </w:r>
            <w:r>
              <w:rPr>
                <w:rFonts w:ascii="Arial" w:cs="Arial" w:eastAsia="Arial" w:hAnsi="Arial"/>
                <w:color w:val="3A423F"/>
                <w:sz w:val="17"/>
                <w:szCs w:val="17"/>
              </w:rPr>
              <w:t xml:space="preserve">Lit les codes-barres à la caméra, au clavier, ou avec une douchette Bluetooth.</w:t>
            </w:r>
          </w:p>
          <w:p>
            <w:pPr>
              <w:spacing w:after="70" w:line="250"/>
              <w:ind w:left="0" w:hanging="204"/>
            </w:pPr>
            <w:r>
              <w:rPr>
                <w:rFonts w:ascii="Arial" w:cs="Arial" w:eastAsia="Arial" w:hAnsi="Arial"/>
                <w:b/>
                <w:bCs/>
                <w:color w:val="1E4D3B"/>
                <w:sz w:val="17"/>
                <w:szCs w:val="17"/>
              </w:rPr>
              <w:t xml:space="preserve">— </w:t>
            </w:r>
            <w:r>
              <w:rPr>
                <w:rFonts w:ascii="Arial" w:cs="Arial" w:eastAsia="Arial" w:hAnsi="Arial"/>
                <w:color w:val="3A423F"/>
                <w:sz w:val="17"/>
                <w:szCs w:val="17"/>
              </w:rPr>
              <w:t xml:space="preserve">Découpe le magasin en zones par des balises QR imprimées depuis l’application : plusieurs personnes comptent en même temps, chacune son rayon, sans se gêner.</w:t>
            </w:r>
          </w:p>
          <w:p>
            <w:pPr>
              <w:spacing w:after="70" w:line="250"/>
              <w:ind w:left="0" w:hanging="204"/>
            </w:pPr>
            <w:r>
              <w:rPr>
                <w:rFonts w:ascii="Arial" w:cs="Arial" w:eastAsia="Arial" w:hAnsi="Arial"/>
                <w:b/>
                <w:bCs/>
                <w:color w:val="1E4D3B"/>
                <w:sz w:val="17"/>
                <w:szCs w:val="17"/>
              </w:rPr>
              <w:t xml:space="preserve">— </w:t>
            </w:r>
            <w:r>
              <w:rPr>
                <w:rFonts w:ascii="Arial" w:cs="Arial" w:eastAsia="Arial" w:hAnsi="Arial"/>
                <w:color w:val="3A423F"/>
                <w:sz w:val="17"/>
                <w:szCs w:val="17"/>
              </w:rPr>
              <w:t xml:space="preserve">Second passage d’audit, écarts calculés en unités et en valeur, arbitrage à l’écran.</w:t>
            </w:r>
          </w:p>
        </w:tc>
        <w:tc>
          <w:tcPr>
            <w:tcW w:type="dxa" w:w="340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932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70" w:line="250"/>
              <w:ind w:left="0" w:hanging="204"/>
            </w:pPr>
            <w:r>
              <w:rPr>
                <w:rFonts w:ascii="Arial" w:cs="Arial" w:eastAsia="Arial" w:hAnsi="Arial"/>
                <w:b/>
                <w:bCs/>
                <w:color w:val="1E4D3B"/>
                <w:sz w:val="17"/>
                <w:szCs w:val="17"/>
              </w:rPr>
              <w:t xml:space="preserve">— </w:t>
            </w:r>
            <w:r>
              <w:rPr>
                <w:rFonts w:ascii="Arial" w:cs="Arial" w:eastAsia="Arial" w:hAnsi="Arial"/>
                <w:color w:val="3A423F"/>
                <w:sz w:val="17"/>
                <w:szCs w:val="17"/>
              </w:rPr>
              <w:t xml:space="preserve">Continue sans réseau : les comptages faits en réserve sont mis en file et repartent seuls dès le retour du signal.</w:t>
            </w:r>
          </w:p>
          <w:p>
            <w:pPr>
              <w:spacing w:after="70" w:line="250"/>
              <w:ind w:left="0" w:hanging="204"/>
            </w:pPr>
            <w:r>
              <w:rPr>
                <w:rFonts w:ascii="Arial" w:cs="Arial" w:eastAsia="Arial" w:hAnsi="Arial"/>
                <w:b/>
                <w:bCs/>
                <w:color w:val="1E4D3B"/>
                <w:sz w:val="17"/>
                <w:szCs w:val="17"/>
              </w:rPr>
              <w:t xml:space="preserve">— </w:t>
            </w:r>
            <w:r>
              <w:rPr>
                <w:rFonts w:ascii="Arial" w:cs="Arial" w:eastAsia="Arial" w:hAnsi="Arial"/>
                <w:color w:val="3A423F"/>
                <w:sz w:val="17"/>
                <w:szCs w:val="17"/>
              </w:rPr>
              <w:t xml:space="preserve">Le superviseur suit l’avancement en direct, rayon par rayon, depuis son écran.</w:t>
            </w:r>
          </w:p>
          <w:p>
            <w:pPr>
              <w:spacing w:after="70" w:line="250"/>
              <w:ind w:left="0" w:hanging="204"/>
            </w:pPr>
            <w:r>
              <w:rPr>
                <w:rFonts w:ascii="Arial" w:cs="Arial" w:eastAsia="Arial" w:hAnsi="Arial"/>
                <w:b/>
                <w:bCs/>
                <w:color w:val="1E4D3B"/>
                <w:sz w:val="17"/>
                <w:szCs w:val="17"/>
              </w:rPr>
              <w:t xml:space="preserve">— </w:t>
            </w:r>
            <w:r>
              <w:rPr>
                <w:rFonts w:ascii="Arial" w:cs="Arial" w:eastAsia="Arial" w:hAnsi="Arial"/>
                <w:color w:val="3A423F"/>
                <w:sz w:val="17"/>
                <w:szCs w:val="17"/>
              </w:rPr>
              <w:t xml:space="preserve">Rapport d’inventaire et export tableur à la clôture.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color w:val="3A423F"/>
          <w:sz w:val="17"/>
          <w:szCs w:val="17"/>
        </w:rPr>
        <w:t xml:space="preserve"/>
      </w:r>
    </w:p>
    <w:tbl>
      <w:tblPr>
        <w:tblW w:type="dxa" w:w="10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/>
              <w:jc w:val="center"/>
            </w:pPr>
            <w:r>
              <w:drawing>
                <wp:inline distT="0" distB="0" distL="0" distR="0">
                  <wp:extent cx="1116000" cy="151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16000" cy="151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color w:val="575F5C"/>
                <w:sz w:val="14"/>
                <w:szCs w:val="14"/>
              </w:rPr>
              <w:t xml:space="preserve">Les inventaires</w:t>
            </w:r>
          </w:p>
        </w:tc>
        <w:tc>
          <w:tcPr>
            <w:tcW w:type="dxa" w:w="2040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/>
              <w:jc w:val="center"/>
            </w:pPr>
            <w:r>
              <w:drawing>
                <wp:inline distT="0" distB="0" distL="0" distR="0">
                  <wp:extent cx="1116000" cy="151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16000" cy="151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color w:val="575F5C"/>
                <w:sz w:val="14"/>
                <w:szCs w:val="14"/>
              </w:rPr>
              <w:t xml:space="preserve">Le suivi</w:t>
            </w:r>
          </w:p>
        </w:tc>
        <w:tc>
          <w:tcPr>
            <w:tcW w:type="dxa" w:w="2040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/>
              <w:jc w:val="center"/>
            </w:pPr>
            <w:r>
              <w:drawing>
                <wp:inline distT="0" distB="0" distL="0" distR="0">
                  <wp:extent cx="1116000" cy="151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16000" cy="151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color w:val="575F5C"/>
                <w:sz w:val="14"/>
                <w:szCs w:val="14"/>
              </w:rPr>
              <w:t xml:space="preserve">Zones et balises</w:t>
            </w:r>
          </w:p>
        </w:tc>
        <w:tc>
          <w:tcPr>
            <w:tcW w:type="dxa" w:w="2040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/>
              <w:jc w:val="center"/>
            </w:pPr>
            <w:r>
              <w:drawing>
                <wp:inline distT="0" distB="0" distL="0" distR="0">
                  <wp:extent cx="1116000" cy="151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16000" cy="151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color w:val="575F5C"/>
                <w:sz w:val="14"/>
                <w:szCs w:val="14"/>
              </w:rPr>
              <w:t xml:space="preserve">Écarts d’audit</w:t>
            </w:r>
          </w:p>
        </w:tc>
        <w:tc>
          <w:tcPr>
            <w:tcW w:type="dxa" w:w="2040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/>
              <w:jc w:val="center"/>
            </w:pPr>
            <w:r>
              <w:drawing>
                <wp:inline distT="0" distB="0" distL="0" distR="0">
                  <wp:extent cx="1116000" cy="151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16000" cy="151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color w:val="575F5C"/>
                <w:sz w:val="14"/>
                <w:szCs w:val="14"/>
              </w:rPr>
              <w:t xml:space="preserve">Rapport et écarts</w:t>
            </w:r>
          </w:p>
        </w:tc>
      </w:tr>
    </w:tbl>
    <w:p>
      <w:pPr>
        <w:spacing w:after="90"/>
      </w:pPr>
      <w:r>
        <w:rPr>
          <w:rFonts w:ascii="Arial" w:cs="Arial" w:eastAsia="Arial" w:hAnsi="Arial"/>
          <w:color w:val="3A423F"/>
          <w:sz w:val="17"/>
          <w:szCs w:val="17"/>
        </w:rPr>
        <w:t xml:space="preserve"/>
      </w:r>
    </w:p>
    <w:p>
      <w:pPr>
        <w:pBdr>
          <w:bottom w:val="single" w:color="E2E5E1" w:sz="4" w:space="4"/>
        </w:pBdr>
        <w:spacing w:after="80" w:before="160"/>
      </w:pPr>
      <w:r>
        <w:rPr>
          <w:rFonts w:ascii="Arial" w:cs="Arial" w:eastAsia="Arial" w:hAnsi="Arial"/>
          <w:b/>
          <w:bCs/>
          <w:color w:val="14181A"/>
          <w:spacing w:val="24"/>
          <w:sz w:val="15"/>
          <w:szCs w:val="15"/>
        </w:rPr>
        <w:t xml:space="preserve">SÉCURITÉ ET CONFIDENTIALITÉ</w:t>
      </w:r>
    </w:p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340"/>
        <w:gridCol w:w="4932"/>
      </w:tblGrid>
      <w:tr>
        <w:tc>
          <w:tcPr>
            <w:tcW w:type="dxa" w:w="4932"/>
            <w:tcMar>
              <w:top w:type="dxa" w:w="0"/>
              <w:left w:type="dxa" w:w="0"/>
              <w:bottom w:type="dxa" w:w="0"/>
              <w:right w:type="dxa" w:w="170"/>
            </w:tcMar>
          </w:tcPr>
          <w:p>
            <w:pPr>
              <w:spacing w:after="70" w:line="250"/>
              <w:ind w:left="0" w:hanging="204"/>
            </w:pPr>
            <w:r>
              <w:rPr>
                <w:rFonts w:ascii="Arial" w:cs="Arial" w:eastAsia="Arial" w:hAnsi="Arial"/>
                <w:b/>
                <w:bCs/>
                <w:color w:val="1E4D3B"/>
                <w:sz w:val="17"/>
                <w:szCs w:val="17"/>
              </w:rPr>
              <w:t xml:space="preserve">— </w:t>
            </w:r>
            <w:r>
              <w:rPr>
                <w:rFonts w:ascii="Arial" w:cs="Arial" w:eastAsia="Arial" w:hAnsi="Arial"/>
                <w:color w:val="3A423F"/>
                <w:sz w:val="17"/>
                <w:szCs w:val="17"/>
              </w:rPr>
              <w:t xml:space="preserve">Double authentification (TOTP) sur l’application comme sur le site, activable par chaque compte.</w:t>
            </w:r>
          </w:p>
          <w:p>
            <w:pPr>
              <w:spacing w:after="70" w:line="250"/>
              <w:ind w:left="0" w:hanging="204"/>
            </w:pPr>
            <w:r>
              <w:rPr>
                <w:rFonts w:ascii="Arial" w:cs="Arial" w:eastAsia="Arial" w:hAnsi="Arial"/>
                <w:b/>
                <w:bCs/>
                <w:color w:val="1E4D3B"/>
                <w:sz w:val="17"/>
                <w:szCs w:val="17"/>
              </w:rPr>
              <w:t xml:space="preserve">— </w:t>
            </w:r>
            <w:r>
              <w:rPr>
                <w:rFonts w:ascii="Arial" w:cs="Arial" w:eastAsia="Arial" w:hAnsi="Arial"/>
                <w:color w:val="3A423F"/>
                <w:sz w:val="17"/>
                <w:szCs w:val="17"/>
              </w:rPr>
              <w:t xml:space="preserve">Chaque compte ne voit que son entreprise, et un compteur que ses propres comptages : le cloisonnement est appliqué en base, pas seulement à l’écran.</w:t>
            </w:r>
          </w:p>
          <w:p>
            <w:pPr>
              <w:spacing w:after="70" w:line="250"/>
              <w:ind w:left="0" w:hanging="204"/>
            </w:pPr>
            <w:r>
              <w:rPr>
                <w:rFonts w:ascii="Arial" w:cs="Arial" w:eastAsia="Arial" w:hAnsi="Arial"/>
                <w:b/>
                <w:bCs/>
                <w:color w:val="1E4D3B"/>
                <w:sz w:val="17"/>
                <w:szCs w:val="17"/>
              </w:rPr>
              <w:t xml:space="preserve">— </w:t>
            </w:r>
            <w:r>
              <w:rPr>
                <w:rFonts w:ascii="Arial" w:cs="Arial" w:eastAsia="Arial" w:hAnsi="Arial"/>
                <w:color w:val="3A423F"/>
                <w:sz w:val="17"/>
                <w:szCs w:val="17"/>
              </w:rPr>
              <w:t xml:space="preserve">Personne ne s’inscrit seul. Les accès sont ouverts par l’administrateur de l’entreprise.</w:t>
            </w:r>
          </w:p>
        </w:tc>
        <w:tc>
          <w:tcPr>
            <w:tcW w:type="dxa" w:w="340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932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70" w:line="250"/>
              <w:ind w:left="0" w:hanging="204"/>
            </w:pPr>
            <w:r>
              <w:rPr>
                <w:rFonts w:ascii="Arial" w:cs="Arial" w:eastAsia="Arial" w:hAnsi="Arial"/>
                <w:b/>
                <w:bCs/>
                <w:color w:val="1E4D3B"/>
                <w:sz w:val="17"/>
                <w:szCs w:val="17"/>
              </w:rPr>
              <w:t xml:space="preserve">— </w:t>
            </w:r>
            <w:r>
              <w:rPr>
                <w:rFonts w:ascii="Arial" w:cs="Arial" w:eastAsia="Arial" w:hAnsi="Arial"/>
                <w:color w:val="3A423F"/>
                <w:sz w:val="17"/>
                <w:szCs w:val="17"/>
              </w:rPr>
              <w:t xml:space="preserve">Mot de passe de 12 caractères au minimum, et refus de ceux qui figurent dans les fuites connues.</w:t>
            </w:r>
          </w:p>
          <w:p>
            <w:pPr>
              <w:spacing w:after="70" w:line="250"/>
              <w:ind w:left="0" w:hanging="204"/>
            </w:pPr>
            <w:r>
              <w:rPr>
                <w:rFonts w:ascii="Arial" w:cs="Arial" w:eastAsia="Arial" w:hAnsi="Arial"/>
                <w:b/>
                <w:bCs/>
                <w:color w:val="1E4D3B"/>
                <w:sz w:val="17"/>
                <w:szCs w:val="17"/>
              </w:rPr>
              <w:t xml:space="preserve">— </w:t>
            </w:r>
            <w:r>
              <w:rPr>
                <w:rFonts w:ascii="Arial" w:cs="Arial" w:eastAsia="Arial" w:hAnsi="Arial"/>
                <w:color w:val="3A423F"/>
                <w:sz w:val="17"/>
                <w:szCs w:val="17"/>
              </w:rPr>
              <w:t xml:space="preserve">Le jeton de session vit dans le trousseau du téléphone, chiffré par le système. Une session inutilisée expire au bout de 30 jours.</w:t>
            </w:r>
          </w:p>
          <w:p>
            <w:pPr>
              <w:spacing w:after="70" w:line="250"/>
              <w:ind w:left="0" w:hanging="204"/>
            </w:pPr>
            <w:r>
              <w:rPr>
                <w:rFonts w:ascii="Arial" w:cs="Arial" w:eastAsia="Arial" w:hAnsi="Arial"/>
                <w:b/>
                <w:bCs/>
                <w:color w:val="1E4D3B"/>
                <w:sz w:val="17"/>
                <w:szCs w:val="17"/>
              </w:rPr>
              <w:t xml:space="preserve">— </w:t>
            </w:r>
            <w:r>
              <w:rPr>
                <w:rFonts w:ascii="Arial" w:cs="Arial" w:eastAsia="Arial" w:hAnsi="Arial"/>
                <w:color w:val="3A423F"/>
                <w:sz w:val="17"/>
                <w:szCs w:val="17"/>
              </w:rPr>
              <w:t xml:space="preserve">Données hébergées dans l’Union européenne. Aucun traceur, aucune mesure d’audience.</w:t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color w:val="3A423F"/>
          <w:sz w:val="17"/>
          <w:szCs w:val="17"/>
        </w:rPr>
        <w:t xml:space="preserve"/>
      </w:r>
    </w:p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340"/>
        <w:gridCol w:w="4932"/>
      </w:tblGrid>
      <w:tr>
        <w:tc>
          <w:tcPr>
            <w:tcW w:type="dxa" w:w="4932"/>
            <w:shd w:fill="F2F3F1" w:color="auto" w:val="clear"/>
            <w:tcMar>
              <w:top w:type="dxa" w:w="113"/>
              <w:left w:type="dxa" w:w="170"/>
              <w:bottom w:type="dxa" w:w="113"/>
              <w:right w:type="dxa" w:w="170"/>
            </w:tcMar>
          </w:tcPr>
          <w:p>
            <w:pPr>
              <w:pBdr>
                <w:bottom w:val="single" w:color="E2E5E1" w:sz="4" w:space="4"/>
              </w:pBdr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14181A"/>
                <w:spacing w:val="24"/>
                <w:sz w:val="15"/>
                <w:szCs w:val="15"/>
              </w:rPr>
              <w:t xml:space="preserve">COMPATIBILITÉ</w:t>
            </w:r>
          </w:p>
          <w:p>
            <w:pPr>
              <w:spacing w:after="55" w:line="240"/>
            </w:pPr>
            <w:r>
              <w:rPr>
                <w:rFonts w:ascii="Arial" w:cs="Arial" w:eastAsia="Arial" w:hAnsi="Arial"/>
                <w:b/>
                <w:bCs/>
                <w:color w:val="14181A"/>
                <w:sz w:val="16"/>
                <w:szCs w:val="16"/>
              </w:rPr>
              <w:t xml:space="preserve">iPhone  </w:t>
            </w:r>
            <w:r>
              <w:rPr>
                <w:rFonts w:ascii="Arial" w:cs="Arial" w:eastAsia="Arial" w:hAnsi="Arial"/>
                <w:color w:val="3A423F"/>
                <w:sz w:val="16"/>
                <w:szCs w:val="16"/>
              </w:rPr>
              <w:t xml:space="preserve">iOS 16.4 ou plus récent.</w:t>
            </w:r>
          </w:p>
          <w:p>
            <w:pPr>
              <w:spacing w:after="55" w:line="240"/>
            </w:pPr>
            <w:r>
              <w:rPr>
                <w:rFonts w:ascii="Arial" w:cs="Arial" w:eastAsia="Arial" w:hAnsi="Arial"/>
                <w:b/>
                <w:bCs/>
                <w:color w:val="14181A"/>
                <w:sz w:val="16"/>
                <w:szCs w:val="16"/>
              </w:rPr>
              <w:t xml:space="preserve">Android  </w:t>
            </w:r>
            <w:r>
              <w:rPr>
                <w:rFonts w:ascii="Arial" w:cs="Arial" w:eastAsia="Arial" w:hAnsi="Arial"/>
                <w:color w:val="3A423F"/>
                <w:sz w:val="16"/>
                <w:szCs w:val="16"/>
              </w:rPr>
              <w:t xml:space="preserve">7.0 (API 24) ou plus récent.</w:t>
            </w:r>
          </w:p>
          <w:p>
            <w:pPr>
              <w:spacing w:after="55" w:line="240"/>
            </w:pPr>
            <w:r>
              <w:rPr>
                <w:rFonts w:ascii="Arial" w:cs="Arial" w:eastAsia="Arial" w:hAnsi="Arial"/>
                <w:b/>
                <w:bCs/>
                <w:color w:val="14181A"/>
                <w:sz w:val="16"/>
                <w:szCs w:val="16"/>
              </w:rPr>
              <w:t xml:space="preserve">Langue  </w:t>
            </w:r>
            <w:r>
              <w:rPr>
                <w:rFonts w:ascii="Arial" w:cs="Arial" w:eastAsia="Arial" w:hAnsi="Arial"/>
                <w:color w:val="3A423F"/>
                <w:sz w:val="16"/>
                <w:szCs w:val="16"/>
              </w:rPr>
              <w:t xml:space="preserve">français. Portrait, thèmes clair et sombre.</w:t>
            </w:r>
          </w:p>
          <w:p>
            <w:pPr>
              <w:spacing w:after="55" w:line="240"/>
            </w:pPr>
            <w:r>
              <w:rPr>
                <w:rFonts w:ascii="Arial" w:cs="Arial" w:eastAsia="Arial" w:hAnsi="Arial"/>
                <w:b/>
                <w:bCs/>
                <w:color w:val="14181A"/>
                <w:sz w:val="16"/>
                <w:szCs w:val="16"/>
              </w:rPr>
              <w:t xml:space="preserve">Douchettes  </w:t>
            </w:r>
            <w:r>
              <w:rPr>
                <w:rFonts w:ascii="Arial" w:cs="Arial" w:eastAsia="Arial" w:hAnsi="Arial"/>
                <w:color w:val="3A423F"/>
                <w:sz w:val="16"/>
                <w:szCs w:val="16"/>
              </w:rPr>
              <w:t xml:space="preserve">lecteurs Bluetooth en mode clavier (HID).</w:t>
            </w:r>
          </w:p>
          <w:p>
            <w:pPr>
              <w:spacing w:after="55" w:line="240"/>
            </w:pPr>
            <w:r>
              <w:rPr>
                <w:rFonts w:ascii="Arial" w:cs="Arial" w:eastAsia="Arial" w:hAnsi="Arial"/>
                <w:b/>
                <w:bCs/>
                <w:color w:val="14181A"/>
                <w:sz w:val="16"/>
                <w:szCs w:val="16"/>
              </w:rPr>
              <w:t xml:space="preserve">Accès demandé  </w:t>
            </w:r>
            <w:r>
              <w:rPr>
                <w:rFonts w:ascii="Arial" w:cs="Arial" w:eastAsia="Arial" w:hAnsi="Arial"/>
                <w:color w:val="3A423F"/>
                <w:sz w:val="16"/>
                <w:szCs w:val="16"/>
              </w:rPr>
              <w:t xml:space="preserve">la caméra, pour lire les codes-barres. Aucune photo n’est enregistrée.</w:t>
            </w:r>
          </w:p>
        </w:tc>
        <w:tc>
          <w:tcPr>
            <w:tcW w:type="dxa" w:w="340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932"/>
            <w:shd w:fill="F2F3F1" w:color="auto" w:val="clear"/>
            <w:tcMar>
              <w:top w:type="dxa" w:w="113"/>
              <w:left w:type="dxa" w:w="170"/>
              <w:bottom w:type="dxa" w:w="113"/>
              <w:right w:type="dxa" w:w="170"/>
            </w:tcMar>
          </w:tcPr>
          <w:p>
            <w:pPr>
              <w:pBdr>
                <w:bottom w:val="single" w:color="E2E5E1" w:sz="4" w:space="4"/>
              </w:pBdr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14181A"/>
                <w:spacing w:val="24"/>
                <w:sz w:val="15"/>
                <w:szCs w:val="15"/>
              </w:rPr>
              <w:t xml:space="preserve">PUBLICATION</w:t>
            </w:r>
          </w:p>
          <w:p>
            <w:pPr>
              <w:spacing w:after="55" w:line="240"/>
            </w:pPr>
            <w:r>
              <w:rPr>
                <w:rFonts w:ascii="Arial" w:cs="Arial" w:eastAsia="Arial" w:hAnsi="Arial"/>
                <w:b/>
                <w:bCs/>
                <w:color w:val="14181A"/>
                <w:sz w:val="16"/>
                <w:szCs w:val="16"/>
              </w:rPr>
              <w:t xml:space="preserve">Nom  </w:t>
            </w:r>
            <w:r>
              <w:rPr>
                <w:rFonts w:ascii="Arial" w:cs="Arial" w:eastAsia="Arial" w:hAnsi="Arial"/>
                <w:color w:val="3A423F"/>
                <w:sz w:val="16"/>
                <w:szCs w:val="16"/>
              </w:rPr>
              <w:t xml:space="preserve">Quantinvo</w:t>
            </w:r>
          </w:p>
          <w:p>
            <w:pPr>
              <w:spacing w:after="55" w:line="240"/>
            </w:pPr>
            <w:r>
              <w:rPr>
                <w:rFonts w:ascii="Arial" w:cs="Arial" w:eastAsia="Arial" w:hAnsi="Arial"/>
                <w:b/>
                <w:bCs/>
                <w:color w:val="14181A"/>
                <w:sz w:val="16"/>
                <w:szCs w:val="16"/>
              </w:rPr>
              <w:t xml:space="preserve">Identifiant  </w:t>
            </w:r>
            <w:r>
              <w:rPr>
                <w:rFonts w:ascii="Arial" w:cs="Arial" w:eastAsia="Arial" w:hAnsi="Arial"/>
                <w:color w:val="3A423F"/>
                <w:sz w:val="16"/>
                <w:szCs w:val="16"/>
              </w:rPr>
              <w:t xml:space="preserve">com.quantinvo.app</w:t>
            </w:r>
          </w:p>
          <w:p>
            <w:pPr>
              <w:spacing w:after="55" w:line="240"/>
            </w:pPr>
            <w:r>
              <w:rPr>
                <w:rFonts w:ascii="Arial" w:cs="Arial" w:eastAsia="Arial" w:hAnsi="Arial"/>
                <w:b/>
                <w:bCs/>
                <w:color w:val="14181A"/>
                <w:sz w:val="16"/>
                <w:szCs w:val="16"/>
              </w:rPr>
              <w:t xml:space="preserve">Version  </w:t>
            </w:r>
            <w:r>
              <w:rPr>
                <w:rFonts w:ascii="Arial" w:cs="Arial" w:eastAsia="Arial" w:hAnsi="Arial"/>
                <w:color w:val="3A423F"/>
                <w:sz w:val="16"/>
                <w:szCs w:val="16"/>
              </w:rPr>
              <w:t xml:space="preserve">1.0.0 (build 7)</w:t>
            </w:r>
          </w:p>
          <w:p>
            <w:pPr>
              <w:spacing w:after="55" w:line="240"/>
            </w:pPr>
            <w:r>
              <w:rPr>
                <w:rFonts w:ascii="Arial" w:cs="Arial" w:eastAsia="Arial" w:hAnsi="Arial"/>
                <w:b/>
                <w:bCs/>
                <w:color w:val="14181A"/>
                <w:sz w:val="16"/>
                <w:szCs w:val="16"/>
              </w:rPr>
              <w:t xml:space="preserve">Catégorie  </w:t>
            </w:r>
            <w:r>
              <w:rPr>
                <w:rFonts w:ascii="Arial" w:cs="Arial" w:eastAsia="Arial" w:hAnsi="Arial"/>
                <w:color w:val="3A423F"/>
                <w:sz w:val="16"/>
                <w:szCs w:val="16"/>
              </w:rPr>
              <w:t xml:space="preserve">Professionnel (Business)</w:t>
            </w:r>
          </w:p>
          <w:p>
            <w:pPr>
              <w:spacing w:after="55" w:line="240"/>
            </w:pPr>
            <w:r>
              <w:rPr>
                <w:rFonts w:ascii="Arial" w:cs="Arial" w:eastAsia="Arial" w:hAnsi="Arial"/>
                <w:b/>
                <w:bCs/>
                <w:color w:val="14181A"/>
                <w:sz w:val="16"/>
                <w:szCs w:val="16"/>
              </w:rPr>
              <w:t xml:space="preserve">Classification  </w:t>
            </w:r>
            <w:r>
              <w:rPr>
                <w:rFonts w:ascii="Arial" w:cs="Arial" w:eastAsia="Arial" w:hAnsi="Arial"/>
                <w:color w:val="3A423F"/>
                <w:sz w:val="16"/>
                <w:szCs w:val="16"/>
              </w:rPr>
              <w:t xml:space="preserve">4+ — aucun contenu sensible.</w:t>
            </w:r>
          </w:p>
          <w:p>
            <w:pPr>
              <w:spacing w:after="55" w:line="240"/>
            </w:pPr>
            <w:r>
              <w:rPr>
                <w:rFonts w:ascii="Arial" w:cs="Arial" w:eastAsia="Arial" w:hAnsi="Arial"/>
                <w:b/>
                <w:bCs/>
                <w:color w:val="14181A"/>
                <w:sz w:val="16"/>
                <w:szCs w:val="16"/>
              </w:rPr>
              <w:t xml:space="preserve">Éditeur  </w:t>
            </w:r>
            <w:r>
              <w:rPr>
                <w:rFonts w:ascii="Arial" w:cs="Arial" w:eastAsia="Arial" w:hAnsi="Arial"/>
                <w:color w:val="3A423F"/>
                <w:sz w:val="16"/>
                <w:szCs w:val="16"/>
              </w:rPr>
              <w:t xml:space="preserve">Devkaylab</w:t>
            </w:r>
          </w:p>
          <w:p>
            <w:pPr>
              <w:spacing w:after="55" w:line="240"/>
            </w:pPr>
            <w:r>
              <w:rPr>
                <w:rFonts w:ascii="Arial" w:cs="Arial" w:eastAsia="Arial" w:hAnsi="Arial"/>
                <w:b/>
                <w:bCs/>
                <w:color w:val="14181A"/>
                <w:sz w:val="16"/>
                <w:szCs w:val="16"/>
              </w:rPr>
              <w:t xml:space="preserve">Confidentialité  </w:t>
            </w:r>
            <w:r>
              <w:rPr>
                <w:rFonts w:ascii="Arial" w:cs="Arial" w:eastAsia="Arial" w:hAnsi="Arial"/>
                <w:color w:val="3A423F"/>
                <w:sz w:val="16"/>
                <w:szCs w:val="16"/>
              </w:rPr>
              <w:t xml:space="preserve">www.quantinvo.com/confidentialite</w:t>
            </w:r>
          </w:p>
          <w:p>
            <w:pPr>
              <w:spacing w:after="55" w:line="240"/>
            </w:pPr>
            <w:r>
              <w:rPr>
                <w:rFonts w:ascii="Arial" w:cs="Arial" w:eastAsia="Arial" w:hAnsi="Arial"/>
                <w:b/>
                <w:bCs/>
                <w:color w:val="14181A"/>
                <w:sz w:val="16"/>
                <w:szCs w:val="16"/>
              </w:rPr>
              <w:t xml:space="preserve">Assistance  </w:t>
            </w:r>
            <w:r>
              <w:rPr>
                <w:rFonts w:ascii="Arial" w:cs="Arial" w:eastAsia="Arial" w:hAnsi="Arial"/>
                <w:color w:val="3A423F"/>
                <w:sz w:val="16"/>
                <w:szCs w:val="16"/>
              </w:rPr>
              <w:t xml:space="preserve">contact@quantinvo.com · www.quantinvo.com</w:t>
            </w:r>
          </w:p>
        </w:tc>
      </w:tr>
    </w:tbl>
    <w:p>
      <w:pPr>
        <w:pBdr>
          <w:bottom w:val="single" w:color="E2E5E1" w:sz="4" w:space="4"/>
        </w:pBdr>
        <w:spacing w:after="80" w:before="160"/>
      </w:pPr>
      <w:r>
        <w:rPr>
          <w:rFonts w:ascii="Arial" w:cs="Arial" w:eastAsia="Arial" w:hAnsi="Arial"/>
          <w:b/>
          <w:bCs/>
          <w:color w:val="14181A"/>
          <w:spacing w:val="24"/>
          <w:sz w:val="15"/>
          <w:szCs w:val="15"/>
        </w:rPr>
        <w:t xml:space="preserve">OÙ LA TÉLÉCHARGER</w:t>
      </w:r>
    </w:p>
    <w:tbl>
      <w:tblPr>
        <w:tblW w:type="dxa" w:w="1020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360"/>
        <w:gridCol w:w="226"/>
        <w:gridCol w:w="4195"/>
        <w:gridCol w:w="340"/>
        <w:gridCol w:w="4081"/>
      </w:tblGrid>
      <w:tr>
        <w:tc>
          <w:tcPr>
            <w:tcW w:type="dxa" w:w="1360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/>
            </w:pPr>
            <w:r>
              <w:drawing>
                <wp:inline distT="0" distB="0" distL="0" distR="0">
                  <wp:extent cx="792000" cy="79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2000" cy="79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195"/>
            <w:tcMar>
              <w:top w:type="dxa" w:w="0"/>
              <w:left w:type="dxa" w:w="0"/>
              <w:bottom w:type="dxa" w:w="0"/>
              <w:right w:type="dxa" w:w="170"/>
            </w:tcMar>
          </w:tcPr>
          <w:p>
            <w:pPr>
              <w:spacing w:after="40" w:before="0" w:line="250"/>
            </w:pPr>
            <w:r>
              <w:rPr>
                <w:rFonts w:ascii="Arial" w:cs="Arial" w:eastAsia="Arial" w:hAnsi="Arial"/>
                <w:b/>
                <w:bCs/>
                <w:color w:val="14181A"/>
                <w:sz w:val="17"/>
                <w:szCs w:val="17"/>
              </w:rPr>
              <w:t xml:space="preserve">Un seul code, pour tous les téléphones</w:t>
            </w:r>
          </w:p>
          <w:p>
            <w:pPr>
              <w:spacing w:after="50" w:before="0" w:line="250"/>
            </w:pPr>
            <w:r>
              <w:rPr>
                <w:rFonts w:ascii="Arial" w:cs="Arial" w:eastAsia="Arial" w:hAnsi="Arial"/>
                <w:color w:val="3A423F"/>
                <w:sz w:val="15"/>
                <w:szCs w:val="15"/>
              </w:rPr>
              <w:t xml:space="preserve">Il ouvre l’application si elle est installée, propose la boutique sinon.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1E4D3B"/>
                <w:sz w:val="15"/>
                <w:szCs w:val="15"/>
              </w:rPr>
              <w:t xml:space="preserve">www.quantinvo.com/open</w:t>
            </w:r>
          </w:p>
        </w:tc>
        <w:tc>
          <w:tcPr>
            <w:tcW w:type="dxa" w:w="340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081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40" w:before="0" w:line="250"/>
            </w:pPr>
            <w:r>
              <w:rPr>
                <w:rFonts w:ascii="Arial" w:cs="Arial" w:eastAsia="Arial" w:hAnsi="Arial"/>
                <w:b/>
                <w:bCs/>
                <w:color w:val="14181A"/>
                <w:sz w:val="17"/>
                <w:szCs w:val="17"/>
              </w:rPr>
              <w:t xml:space="preserve">App Store</w:t>
            </w:r>
          </w:p>
          <w:p>
            <w:pPr>
              <w:spacing w:after="90" w:before="0" w:line="250"/>
            </w:pPr>
            <w:r>
              <w:rPr>
                <w:rFonts w:ascii="Arial" w:cs="Arial" w:eastAsia="Arial" w:hAnsi="Arial"/>
                <w:color w:val="1E4D3B"/>
                <w:sz w:val="15"/>
                <w:szCs w:val="15"/>
              </w:rPr>
              <w:t xml:space="preserve">apps.apple.com/fr/app/quantinvo/id6807966626</w:t>
            </w:r>
          </w:p>
          <w:p>
            <w:pPr>
              <w:spacing w:after="40" w:before="0" w:line="250"/>
            </w:pPr>
            <w:r>
              <w:rPr>
                <w:rFonts w:ascii="Arial" w:cs="Arial" w:eastAsia="Arial" w:hAnsi="Arial"/>
                <w:b/>
                <w:bCs/>
                <w:color w:val="14181A"/>
                <w:sz w:val="17"/>
                <w:szCs w:val="17"/>
              </w:rPr>
              <w:t xml:space="preserve">Google Play · en cours d’examen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1E4D3B"/>
                <w:sz w:val="15"/>
                <w:szCs w:val="15"/>
              </w:rPr>
              <w:t xml:space="preserve">play.google.com/store/search?q=Quantinvo&amp;c=apps</w:t>
            </w:r>
          </w:p>
        </w:tc>
      </w:tr>
    </w:tbl>
    <w:p>
      <w:pPr>
        <w:pBdr>
          <w:top w:val="single" w:color="E2E5E1" w:sz="4" w:space="5"/>
        </w:pBdr>
        <w:spacing w:after="0" w:before="70"/>
      </w:pPr>
      <w:r>
        <w:rPr>
          <w:rFonts w:ascii="Arial" w:cs="Arial" w:eastAsia="Arial" w:hAnsi="Arial"/>
          <w:color w:val="575F5C"/>
          <w:sz w:val="14"/>
          <w:szCs w:val="14"/>
        </w:rPr>
        <w:t xml:space="preserve">Devkaylab · contact@quantinvo.com · www.quantinvo.com — fiche établie le 28 septembre 2026, application version 1.0.0 (build 7).</w:t>
      </w:r>
    </w:p>
    <w:sectPr>
      <w:pgSz w:w="11906" w:h="16838" w:orient="portrait"/>
      <w:pgMar w:top="680" w:right="850" w:bottom="566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6408aa4191d9732224fe2d1e75b63fd78a6bba8.png"/><Relationship Id="rId8" Type="http://schemas.openxmlformats.org/officeDocument/2006/relationships/image" Target="media/b0137e55d2d8b7550f9610a8e1bb8d83b6adb796.png"/><Relationship Id="rId9" Type="http://schemas.openxmlformats.org/officeDocument/2006/relationships/image" Target="media/7de3fd5b67c1321b6019a845bc911f8280959b1f.png"/><Relationship Id="rId10" Type="http://schemas.openxmlformats.org/officeDocument/2006/relationships/image" Target="media/de235054cf9f205e079bacd3a2ee9e30152b844b.png"/><Relationship Id="rId11" Type="http://schemas.openxmlformats.org/officeDocument/2006/relationships/image" Target="media/7b65e0cdc4a9dffc8f195e677c87c3018e4965e9.png"/><Relationship Id="rId12" Type="http://schemas.openxmlformats.org/officeDocument/2006/relationships/image" Target="media/802bf81db051009aaa75c7c56ec5872dc60580d8.png"/><Relationship Id="rId13" Type="http://schemas.openxmlformats.org/officeDocument/2006/relationships/image" Target="media/ccf3f79a885e4eb59203314bd4f629e02493da0c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Quantinvo — fiche produit</dc:title>
  <dc:creator>Devkaylab</dc:creator>
  <dc:description>Application d'inventaire pour le commerce de détail</dc:description>
  <cp:lastModifiedBy>Un-named</cp:lastModifiedBy>
  <cp:revision>1</cp:revision>
  <dcterms:created xsi:type="dcterms:W3CDTF">2026-09-28T08:54:22.081Z</dcterms:created>
  <dcterms:modified xsi:type="dcterms:W3CDTF">2026-09-28T08:54:22.082Z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