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3"/>
        <w:gridCol w:w="4875"/>
        <w:gridCol w:w="4535"/>
      </w:tblGrid>
      <w:tr>
        <w:tc>
          <w:tcPr>
            <w:tcW w:type="dxa" w:w="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7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81A"/>
                <w:sz w:val="26"/>
                <w:szCs w:val="26"/>
              </w:rPr>
              <w:t xml:space="preserve">Quantinvo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75F5C"/>
                <w:sz w:val="15"/>
                <w:szCs w:val="15"/>
              </w:rPr>
              <w:t xml:space="preserve">La fiabilisation du stock au quotidien</w:t>
            </w:r>
          </w:p>
        </w:tc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5F5C"/>
                <w:sz w:val="15"/>
                <w:szCs w:val="15"/>
              </w:rPr>
              <w:t xml:space="preserve">Prise en main · Superviseur</w:t>
            </w:r>
          </w:p>
        </w:tc>
      </w:tr>
    </w:tbl>
    <w:p>
      <w:pPr>
        <w:pBdr>
          <w:bottom w:val="single" w:color="14181A" w:sz="8" w:space="6"/>
        </w:pBdr>
        <w:spacing w:after="60" w:before="0" w:line="20"/>
      </w:pPr>
    </w:p>
    <w:p>
      <w:pPr>
        <w:spacing w:after="80" w:before="110"/>
      </w:pPr>
      <w:r>
        <w:rPr>
          <w:rFonts w:ascii="Arial" w:cs="Arial" w:eastAsia="Arial" w:hAnsi="Arial"/>
          <w:b/>
          <w:bCs/>
          <w:color w:val="14181A"/>
          <w:sz w:val="32"/>
          <w:szCs w:val="32"/>
        </w:rPr>
        <w:t xml:space="preserve">L’application, écran par écran</w:t>
      </w:r>
    </w:p>
    <w:p>
      <w:pPr>
        <w:spacing w:after="60" w:before="0" w:line="280"/>
      </w:pPr>
      <w:r>
        <w:rPr>
          <w:rFonts w:ascii="Arial" w:cs="Arial" w:eastAsia="Arial" w:hAnsi="Arial"/>
          <w:color w:val="3A423F"/>
          <w:sz w:val="19"/>
          <w:szCs w:val="19"/>
        </w:rPr>
        <w:t xml:space="preserve">Tout ce qui se prépare une fois, et tout ce qui demande une décision. Les trois quarts se font avant que quiconque ne scanne quoi que ce soit.</w:t>
      </w:r>
    </w:p>
    <w:p>
      <w:pPr>
        <w:spacing w:after="150" w:before="0"/>
      </w:pPr>
      <w:r>
        <w:rPr>
          <w:rFonts w:ascii="Arial" w:cs="Arial" w:eastAsia="Arial" w:hAnsi="Arial"/>
          <w:i/>
          <w:iCs/>
          <w:color w:val="575F5C"/>
          <w:sz w:val="15"/>
          <w:szCs w:val="15"/>
        </w:rPr>
        <w:t xml:space="preserve">Chaque étape cite le repère que l’application affiche à ce moment-là. Captures du 10 septembre 2026.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11"/>
        <w:gridCol w:w="7993"/>
      </w:tblGrid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83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224000" cy="2584427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0" cy="258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Imprimer ses balises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Une planche d'étiquettes à coller sur les rayons, générée depuis la boîte à outils. À faire une fois : elles resservent d'un inventaire à l'autre.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Première étape du bandeau de démarrage, sur l’accueil.</w:t>
            </w:r>
          </w:p>
        </w:tc>
      </w:tr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line="20"/>
            </w:pP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83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224000" cy="2584427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0" cy="258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Créer l'inventaire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Un nom, un magasin, un code à communiquer à l'équipe. Et le choix du mode : avec balises, plusieurs personnes comptent en parallèle sans se gêner.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« Ce choix ne se change plus après la création. »</w:t>
            </w:r>
          </w:p>
        </w:tc>
      </w:tr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line="20"/>
            </w:pP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83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224000" cy="2584427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0" cy="258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Affecter les plages de balises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Dire quelles étiquettes correspondent à quel endroit : les balises 1000 à 1049 sont la Surface de vente. C'est ce qui rend l'avancement lisible rayon par rayon.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« Balise, emplacement, plage », en tête de l’écran.</w:t>
            </w:r>
          </w:p>
        </w:tc>
      </w:tr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line="20"/>
            </w:pP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83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224000" cy="2584427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0" cy="258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Importer les deux fichiers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Le référencement nomme les articles ; sans lui tout ressort en « article inconnu ». Le stock théorique donne les quantités attendues — c'est lui, et lui seul, qui fait apparaître les écarts.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« Deux fichiers, deux rôles », avant le premier import.</w:t>
            </w:r>
          </w:p>
        </w:tc>
      </w:tr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line="20"/>
            </w:pP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83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224000" cy="2584427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0" cy="258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Ajouter son équipe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Prénom, nom, adresse : la personne reçoit une invitation et choisit son mot de passe. Tant qu'elle n'est pas entrée, sa ligne porte « Mot de passe à créer ».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La personne apparaît tout de suite, avant même sa première connexion.</w:t>
            </w:r>
          </w:p>
        </w:tc>
      </w:tr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line="20"/>
            </w:pP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83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224000" cy="2584427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0" cy="258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Suivre l'avancement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Il se lit en balises comptées, pas en pièces. Chaque rayon terminé remonte tout seul : rien à rafraîchir, rien à demander à l'équipe.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Le suivi se lit aussi sur le site, plus au large.</w:t>
            </w:r>
          </w:p>
        </w:tc>
      </w:tr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line="20"/>
            </w:pP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83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224000" cy="2584427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0" cy="258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Arbitrer les écarts d'audit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Quand un second passage ne donne pas le même compte que le premier, l'écran les oppose balise par balise : on retient le compteur, l'auditeur, ou une troisième quantité. Un écart non arbitré part dans le rapport avec la quantité de l'auditeur.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« Les écarts se comparent balise par balise », en tête de l’écran.</w:t>
            </w:r>
          </w:p>
        </w:tc>
      </w:tr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line="20"/>
            </w:pP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2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83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224000" cy="2584427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0" cy="258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Clôturer, et lire le rapport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À la clôture, l'inventaire passe en lecture seule et le rapport se fige. Il donne le théorique, le compté, l'écart en unités et en valeur d'achat, puis le détail article par article — et s'exporte en tableur.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« Exporter le rapport Excel », sous les quatre totaux.</w:t>
            </w:r>
          </w:p>
        </w:tc>
      </w:tr>
    </w:tbl>
    <w:p>
      <w:pPr>
        <w:pBdr>
          <w:bottom w:val="single" w:color="E2E5E1" w:sz="4" w:space="4"/>
        </w:pBdr>
        <w:spacing w:after="100" w:before="200" w:line="20"/>
      </w:pP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7"/>
        <w:gridCol w:w="8447"/>
      </w:tblGrid>
      <w:tr>
        <w:tc>
          <w:tcPr>
            <w:tcW w:type="dxa" w:w="17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83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792000" cy="79200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Installer l’application</w:t>
            </w:r>
          </w:p>
          <w:p>
            <w:pPr>
              <w:spacing w:after="60" w:before="0" w:line="270"/>
            </w:pPr>
            <w:r>
              <w:rPr>
                <w:rFonts w:ascii="Arial" w:cs="Arial" w:eastAsia="Arial" w:hAnsi="Arial"/>
                <w:color w:val="3A423F"/>
                <w:sz w:val="17"/>
                <w:szCs w:val="17"/>
              </w:rPr>
              <w:t xml:space="preserve">Faites scanner ce code par le téléphone. Si l’application est déjà installée, elle s’ouvre ; sinon, la boutique du téléphone lui est proposée — iPhone comme Android.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4D3B"/>
                <w:sz w:val="16"/>
                <w:szCs w:val="16"/>
              </w:rPr>
              <w:t xml:space="preserve">www.quantinvo.com/open</w:t>
            </w:r>
          </w:p>
        </w:tc>
      </w:tr>
    </w:tbl>
    <w:p>
      <w:pPr>
        <w:pBdr>
          <w:top w:val="single" w:color="E2E5E1" w:sz="4" w:space="5"/>
        </w:pBdr>
        <w:spacing w:after="0" w:before="200"/>
      </w:pPr>
      <w:r>
        <w:rPr>
          <w:rFonts w:ascii="Arial" w:cs="Arial" w:eastAsia="Arial" w:hAnsi="Arial"/>
          <w:color w:val="575F5C"/>
          <w:sz w:val="14"/>
          <w:szCs w:val="14"/>
        </w:rPr>
        <w:t xml:space="preserve">Devkaylab · contact@quantinvo.com · www.quantinvo.com — guide établi le 28 septembre 2026.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23F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6408aa4191d9732224fe2d1e75b63fd78a6bba8.png"/><Relationship Id="rId8" Type="http://schemas.openxmlformats.org/officeDocument/2006/relationships/image" Target="media/2ced9221ef7589ee6a8608364ad86088fd30b87d.png"/><Relationship Id="rId9" Type="http://schemas.openxmlformats.org/officeDocument/2006/relationships/image" Target="media/a38bce19f390aa4530cf0b870f78bcc072b50c75.png"/><Relationship Id="rId10" Type="http://schemas.openxmlformats.org/officeDocument/2006/relationships/image" Target="media/2d6398356fcab9952c95f66a78e3153e48d98ac0.png"/><Relationship Id="rId11" Type="http://schemas.openxmlformats.org/officeDocument/2006/relationships/image" Target="media/ed9307ab1b199936aea2a9362c780006c2b1a08a.png"/><Relationship Id="rId12" Type="http://schemas.openxmlformats.org/officeDocument/2006/relationships/image" Target="media/be7fb27ae000c092918ba34cf43d337db6a715b9.png"/><Relationship Id="rId13" Type="http://schemas.openxmlformats.org/officeDocument/2006/relationships/image" Target="media/8c14337ca8ebecba531cd003762737784f7dff46.png"/><Relationship Id="rId14" Type="http://schemas.openxmlformats.org/officeDocument/2006/relationships/image" Target="media/79aa302d6ed7147f8d3a479420602ee89b8282d4.png"/><Relationship Id="rId15" Type="http://schemas.openxmlformats.org/officeDocument/2006/relationships/image" Target="media/f8126148a3374843b5cb50e36dd6bf30bf7937e3.png"/><Relationship Id="rId16" Type="http://schemas.openxmlformats.org/officeDocument/2006/relationships/image" Target="media/ccf3f79a885e4eb59203314bd4f629e02493da0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Quantinvo — prise en main · Superviseur</dc:title>
  <dc:creator>Devkaylab</dc:creator>
  <cp:lastModifiedBy>Un-named</cp:lastModifiedBy>
  <cp:revision>1</cp:revision>
  <dcterms:created xsi:type="dcterms:W3CDTF">2026-09-28T08:44:20.801Z</dcterms:created>
  <dcterms:modified xsi:type="dcterms:W3CDTF">2026-09-28T08:44:20.801Z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