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Genome Annotation and Comparative Analysis of</w:t>
      </w:r>
    </w:p>
    <w:p>
      <w:pPr>
        <w:spacing w:after="240"/>
        <w:jc w:val="center"/>
      </w:pPr>
      <w:r>
        <w:rPr>
          <w:b/>
          <w:bCs/>
          <w:i/>
          <w:iCs/>
          <w:sz w:val="32"/>
          <w:szCs w:val="32"/>
        </w:rPr>
        <w:t xml:space="preserve">Escherichia phage Ec_Makalu_002</w:t>
      </w:r>
    </w:p>
    <w:p>
      <w:pPr>
        <w:spacing w:after="400"/>
        <w:jc w:val="center"/>
      </w:pPr>
      <w:r>
        <w:rPr>
          <w:i/>
          <w:iCs/>
          <w:sz w:val="22"/>
          <w:szCs w:val="22"/>
        </w:rPr>
        <w:t xml:space="preserve">A </w:t>
      </w:r>
      <w:r>
        <w:rPr>
          <w:i/>
          <w:iCs/>
          <w:sz w:val="22"/>
          <w:szCs w:val="22"/>
        </w:rPr>
        <w:t xml:space="preserve">Krischvirus</w:t>
      </w:r>
      <w:r>
        <w:rPr>
          <w:i/>
          <w:iCs/>
          <w:sz w:val="22"/>
          <w:szCs w:val="22"/>
        </w:rPr>
        <w:t xml:space="preserve"> (Straboviridae) isolate with a putative mobile intein in the terminase large subunit gene</w:t>
      </w:r>
    </w:p>
    <w:p>
      <w:pPr>
        <w:pStyle w:val="Heading1"/>
        <w:spacing w:after="160" w:before="320"/>
      </w:pPr>
      <w:r>
        <w:t xml:space="preserve">Abstract</w:t>
      </w:r>
    </w:p>
    <w:p>
      <w:pPr>
        <w:spacing w:after="160"/>
      </w:pPr>
      <w:r>
        <w:rPr>
          <w:i/>
          <w:iCs/>
        </w:rPr>
        <w:t xml:space="preserve">Escherichia phage Ec_Makalu_002</w:t>
      </w:r>
      <w:r>
        <w:t xml:space="preserve"> is a 164,673 bp tailed phage in the genus </w:t>
      </w:r>
      <w:r>
        <w:rPr>
          <w:i/>
          <w:iCs/>
        </w:rPr>
        <w:t xml:space="preserve">Krischvirus</w:t>
      </w:r>
      <w:r>
        <w:t xml:space="preserve"> (family Straboviridae, order Pantevenvirales), closely related to previously characterized T4-like coliphages. We assembled and annotated its genome (269 predicted CDS), performed a whole-genome comparison against its closest public relative to validate annotation completeness, and placed it in a genus-level phylogenetic context using the terminase large subunit gene. Because sequencing reads originated from a pooled, size-fractionated viral community sample, we additionally validated assembly integrity: read-mapping depth was uniform across the genome with no evidence of chimeric assembly, the circular join showed no artificial terminal redundancy, and independent assessment with CheckV classified the genome as high-quality, non-proviral, and free of contamination (98.88% estimated completeness). This analysis identified a well-supported subclade, including </w:t>
      </w:r>
      <w:r>
        <w:rPr>
          <w:i/>
          <w:iCs/>
        </w:rPr>
        <w:t xml:space="preserve">Ec_Makalu_002</w:t>
      </w:r>
      <w:r>
        <w:t xml:space="preserve">, defined by a ~330 amino acid insertion in the terminase large subunit absent from most genus members. Sequence-level evidence — a canonical intein N-terminal splice residue, a conserved C-terminal His-Asn splicing motif, and a histidine cluster consistent with an embedded HNH homing endonuclease domain — supports the hypothesis that this insertion is a mobile group I intein. A shorter, overlapping insertion in a more distantly related genus member suggests this may be a recurrent insertion hotspot in the </w:t>
      </w:r>
      <w:r>
        <w:rPr>
          <w:i/>
          <w:iCs/>
        </w:rPr>
        <w:t xml:space="preserve">Krischvirus</w:t>
      </w:r>
      <w:r>
        <w:t xml:space="preserve"> terminase large subunit gene.</w:t>
      </w:r>
    </w:p>
    <w:p>
      <w:pPr>
        <w:pStyle w:val="Heading1"/>
        <w:spacing w:after="160" w:before="320"/>
      </w:pPr>
      <w:r>
        <w:t xml:space="preserve">1. Introduction</w:t>
      </w:r>
    </w:p>
    <w:p>
      <w:pPr>
        <w:spacing w:after="160"/>
      </w:pPr>
      <w:r>
        <w:t xml:space="preserve">Bacteriophages in the genus </w:t>
      </w:r>
      <w:r>
        <w:rPr>
          <w:i/>
          <w:iCs/>
        </w:rPr>
        <w:t xml:space="preserve">Krischvirus</w:t>
      </w:r>
      <w:r>
        <w:t xml:space="preserve"> (family Straboviridae, order Pantevenvirales) are large, tailed, T4-like phages that infect </w:t>
      </w:r>
      <w:r>
        <w:rPr>
          <w:i/>
          <w:iCs/>
        </w:rPr>
        <w:t xml:space="preserve">Escherichia</w:t>
      </w:r>
      <w:r>
        <w:t xml:space="preserve"> and related enteric bacteria [1]. Comparative genomics of this genus has revealed substantial conservation of core structural and packaging genes alongside pockets of genetic novelty. Among these, self-splicing inteins are of particular interest: although sporadically distributed across all domains of life [2], inteins are disproportionately enriched in phage genomes relative to their bacterial hosts, and the terminase large subunit (TerL) gene in particular has been identified as one of the most frequent sites of intein insertion across a large sampling of bacteriophage genomes, with multiple independent insertion events at distinct sites within the same gene [3]. This raises the possibility that TerL is a recurrent, mechanistically favored target for intein invasion rather than a site of occasional, lineage-specific insertion.</w:t>
      </w:r>
    </w:p>
    <w:p>
      <w:pPr>
        <w:spacing w:after="160"/>
      </w:pPr>
      <w:r>
        <w:t xml:space="preserve">Here we present the assembly, annotation, and comparative analysis of </w:t>
      </w:r>
      <w:r>
        <w:rPr>
          <w:i/>
          <w:iCs/>
        </w:rPr>
        <w:t xml:space="preserve">Ec_Makalu_002</w:t>
      </w:r>
      <w:r>
        <w:t xml:space="preserve">, a </w:t>
      </w:r>
      <w:r>
        <w:rPr>
          <w:i/>
          <w:iCs/>
        </w:rPr>
        <w:t xml:space="preserve">Krischvirus</w:t>
      </w:r>
      <w:r>
        <w:t xml:space="preserve"> genome recovered from a publicly deposited, size-fractionated viral-community sequencing dataset (NCBI SRA: SRR10671636, BioProject PRJNA594990) [4], with particular attention to (i) validating the completeness and accuracy of its annotation against a close public relative, (ii) independently confirming assembly integrity given the pooled origin of the sequencing reads, and (iii) placing the genome phylogenetically within its genus using a conserved single-copy marker gene.</w:t>
      </w:r>
    </w:p>
    <w:p>
      <w:pPr>
        <w:pStyle w:val="Heading1"/>
        <w:spacing w:after="160" w:before="320"/>
      </w:pPr>
      <w:r>
        <w:t xml:space="preserve">2. Methods</w:t>
      </w:r>
    </w:p>
    <w:p>
      <w:pPr>
        <w:pStyle w:val="Heading2"/>
        <w:spacing w:after="120" w:before="240"/>
      </w:pPr>
      <w:r>
        <w:t xml:space="preserve">2.1 Genome assembly and annotation</w:t>
      </w:r>
    </w:p>
    <w:p>
      <w:pPr>
        <w:spacing w:after="160"/>
      </w:pPr>
      <w:r>
        <w:t xml:space="preserve">This study is a secondary bioinformatic analysis of publicly deposited sequencing data; no new wet-laboratory sequencing was performed. Paired-end reads (Illumina NextSeq 500, 2×150 bp; SRA: SRR10671636, BioProject PRJNA594990, deposited by Tribhuvan University) originating from a pooled, size-fractionated viral-community sample were quality-trimmed and assembled with SPAdes (careful mode, multiple k-mer sizes), yielding a single contig of 164,673 bp at approximately 127x k-mer coverage. The contig was circularized and reoriented to match the reference genome's start coordinate prior to annotation. The final assembly (164,673 bp, circular) was annotated using Bakta, yielding 269 predicted coding sequences.</w:t>
      </w:r>
    </w:p>
    <w:p>
      <w:pPr>
        <w:pStyle w:val="Heading2"/>
        <w:spacing w:after="120" w:before="240"/>
      </w:pPr>
      <w:r>
        <w:t xml:space="preserve">2.2 Whole-genome comparative annotation QC</w:t>
      </w:r>
    </w:p>
    <w:p>
      <w:pPr>
        <w:spacing w:after="160"/>
      </w:pPr>
      <w:r>
        <w:t xml:space="preserve">The closest available public relative, </w:t>
      </w:r>
      <w:r>
        <w:rPr>
          <w:i/>
          <w:iCs/>
        </w:rPr>
        <w:t xml:space="preserve">Escherichia</w:t>
      </w:r>
      <w:r>
        <w:t xml:space="preserve"> phage genome MN709127.1 (164,674 bp, 274 annotated CDS), was used as a reference. Reference CDS translations were extracted from its GenBank record. Reciprocal BLASTp (E-value ≤ 1e-5, best hit only) was performed between the </w:t>
      </w:r>
      <w:r>
        <w:rPr>
          <w:i/>
          <w:iCs/>
        </w:rPr>
        <w:t xml:space="preserve">Ec_Makalu_002</w:t>
      </w:r>
      <w:r>
        <w:t xml:space="preserve"> Bakta protein set and the reference protein set in both directions. Any CDS lacking a reciprocal best hit was followed up with nucleotide-level BLASTn against the counterpart genome to distinguish genuine sequence divergence or gene loss from annotation-pipeline artifacts.</w:t>
      </w:r>
    </w:p>
    <w:p>
      <w:pPr>
        <w:pStyle w:val="Heading2"/>
        <w:spacing w:after="120" w:before="240"/>
      </w:pPr>
      <w:r>
        <w:t xml:space="preserve">2.3 Terminase large subunit phylogenetics</w:t>
      </w:r>
    </w:p>
    <w:p>
      <w:pPr>
        <w:spacing w:after="160"/>
      </w:pPr>
      <w:r>
        <w:t xml:space="preserve">The terminase large subunit gene was identified in the </w:t>
      </w:r>
      <w:r>
        <w:rPr>
          <w:i/>
          <w:iCs/>
        </w:rPr>
        <w:t xml:space="preserve">Ec_Makalu_002</w:t>
      </w:r>
      <w:r>
        <w:t xml:space="preserve"> annotation by its characteristic Pfam domain signature (PF14528, PF17289) and its genomic position immediately downstream of the terminase small subunit gene, consistent with the conserved TerL/TerS gene order described for T4-like phage packaging genes [6]. Fifteen related genomes were selected from the genus </w:t>
      </w:r>
      <w:r>
        <w:rPr>
          <w:i/>
          <w:iCs/>
        </w:rPr>
        <w:t xml:space="preserve">Krischvirus</w:t>
      </w:r>
      <w:r>
        <w:t xml:space="preserve"> (NCBI Taxonomy ID 1913651) and related Straboviridae, spanning </w:t>
      </w:r>
      <w:r>
        <w:rPr>
          <w:i/>
          <w:iCs/>
        </w:rPr>
        <w:t xml:space="preserve">Escherichia</w:t>
      </w:r>
      <w:r>
        <w:t xml:space="preserve">, </w:t>
      </w:r>
      <w:r>
        <w:rPr>
          <w:i/>
          <w:iCs/>
        </w:rPr>
        <w:t xml:space="preserve">Shigella</w:t>
      </w:r>
      <w:r>
        <w:t xml:space="preserve">, and cross-genus representatives, using NCBI Taxonomy and Nucleotide records. The </w:t>
      </w:r>
      <w:r>
        <w:rPr>
          <w:i/>
          <w:iCs/>
        </w:rPr>
        <w:t xml:space="preserve">Ec_Makalu_002</w:t>
      </w:r>
      <w:r>
        <w:t xml:space="preserve"> terminase large subunit protein sequence was used as a tblastn query against each genome to recover the homologous coding sequence; extracted regions were translated and, where genome-specific GenBank annotations were available, cross-checked against the curator-assigned CDS boundaries to confirm correct gene-boundary extraction. The 16 resulting protein sequences (15 relatives plus </w:t>
      </w:r>
      <w:r>
        <w:rPr>
          <w:i/>
          <w:iCs/>
        </w:rPr>
        <w:t xml:space="preserve">Ec_Makalu_002</w:t>
      </w:r>
      <w:r>
        <w:t xml:space="preserve">) were aligned with MAFFT (auto strategy, L-INS-i), and a maximum-likelihood phylogeny was built with IQ-TREE using ModelFinder for model selection and 1000 ultrafast bootstrap replicates.</w:t>
      </w:r>
    </w:p>
    <w:p>
      <w:pPr>
        <w:pStyle w:val="Heading2"/>
        <w:spacing w:after="120" w:before="240"/>
      </w:pPr>
      <w:r>
        <w:t xml:space="preserve">2.4 Intein sequence assessment</w:t>
      </w:r>
    </w:p>
    <w:p>
      <w:pPr>
        <w:spacing w:after="160"/>
      </w:pPr>
      <w:r>
        <w:t xml:space="preserve">The insertion region identified in the terminase large subunit alignment (present in a subset of taxa and absent from the majority) was extracted and inspected for canonical intein splicing motifs: the conserved N-terminal splice-junction residue (Cys/Ser/Ala/Gln) and the conserved C-terminal Block G dipeptide (His-Asn/Gln), following established intein sequence signatures. The internal sequence was also inspected for a clustering of histidine residues consistent with an embedded HNH-family homing endonuclease domain, characteristic of “full-length” mobile inteins. A confirmatory search against curated intein/domain databases (e.g., a Conserved Domain Database search) was attempted but did not return results within a practical time frame and is noted as a direction for future confirmation rather than a completed step.</w:t>
      </w:r>
    </w:p>
    <w:p>
      <w:pPr>
        <w:pStyle w:val="Heading2"/>
        <w:spacing w:after="120" w:before="240"/>
      </w:pPr>
      <w:r>
        <w:t xml:space="preserve">2.5 Assembly quality control</w:t>
      </w:r>
    </w:p>
    <w:p>
      <w:pPr>
        <w:spacing w:after="160"/>
      </w:pPr>
      <w:r>
        <w:t xml:space="preserve">Because the source reads originated from a pooled, size-fractionated viral-community library rather than a clonal phage lysate, three independent checks were performed to rule out chimeric assembly, incomplete assembly, and host-DNA contamination. First, the complete SRR10671636 read set was mapped back to the finished, circularized genome with bwa-mem, and per-base depth was computed across 1 kb windows to check for abrupt discontinuities indicative of a chimeric join between co-assembled, unrelated genomes; PCR/optical duplicates were then marked to distinguish true sequencing depth from duplicate inflation. Second, the terminal 500 bp at each end of the circularized sequence were reciprocally BLASTn-searched against one another to confirm that circularization did not rely on an artificial forced overlap. Third, genome completeness, contamination, and proviral (integrated prophage) status were assessed with CheckV v1.1.1 (database v1.5, AAI-based completeness estimation).</w:t>
      </w:r>
    </w:p>
    <w:p>
      <w:pPr>
        <w:pStyle w:val="Heading1"/>
        <w:spacing w:after="160" w:before="320"/>
      </w:pPr>
      <w:r>
        <w:t xml:space="preserve">3. Results</w:t>
      </w:r>
    </w:p>
    <w:p>
      <w:pPr>
        <w:spacing w:after="80" w:before="120"/>
        <w:jc w:val="center"/>
      </w:pPr>
      <w:r>
        <w:drawing>
          <wp:inline distT="0" distB="0" distL="0" distR="0">
            <wp:extent cx="4200000" cy="540414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00000" cy="5404140"/>
                    </a:xfrm>
                    <a:prstGeom prst="rect">
                      <a:avLst/>
                    </a:prstGeom>
                  </pic:spPr>
                </pic:pic>
              </a:graphicData>
            </a:graphic>
          </wp:inline>
        </w:drawing>
      </w:r>
    </w:p>
    <w:p>
      <w:pPr>
        <w:spacing w:after="240"/>
        <w:jc w:val="center"/>
      </w:pPr>
      <w:r>
        <w:rPr>
          <w:i/>
          <w:iCs/>
          <w:sz w:val="20"/>
          <w:szCs w:val="20"/>
        </w:rPr>
        <w:t xml:space="preserve">Figure 0. Circular genome map of </w:t>
      </w:r>
      <w:r>
        <w:rPr>
          <w:i/>
          <w:iCs/>
          <w:sz w:val="20"/>
          <w:szCs w:val="20"/>
        </w:rPr>
        <w:t xml:space="preserve">Ec_Makalu_002</w:t>
      </w:r>
      <w:r>
        <w:rPr>
          <w:i/>
          <w:iCs/>
          <w:sz w:val="20"/>
          <w:szCs w:val="20"/>
        </w:rPr>
        <w:t xml:space="preserve"> (164,673 bp, 269 CDS). Outer ring: predicted CDS colored by functional category (see legend); inner rings: GC content and GC skew. Positions of the long tail fiber, the terminase large subunit (TerL, harboring the putative intein), and the putative homing endonuclease (GLGIAI_0263) are highlighted.</w:t>
      </w:r>
    </w:p>
    <w:p>
      <w:pPr>
        <w:pStyle w:val="Heading2"/>
        <w:spacing w:after="120" w:before="240"/>
      </w:pPr>
      <w:r>
        <w:t xml:space="preserve">3.1 Assembly and annotation overview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E2F3" w:val="clear"/>
          </w:tcPr>
          <w:p>
            <w:pPr>
              <w:spacing w:after="160"/>
            </w:pPr>
            <w:r>
              <w:rPr>
                <w:b/>
                <w:bCs/>
              </w:rPr>
              <w:t xml:space="preserve">Attribute</w:t>
            </w:r>
          </w:p>
        </w:tc>
        <w:tc>
          <w:tcPr>
            <w:tcW w:type="dxa" w:w="4500"/>
            <w:shd w:fill="D9E2F3" w:val="clear"/>
          </w:tcPr>
          <w:p>
            <w:pPr>
              <w:spacing w:after="160"/>
            </w:pPr>
            <w:r>
              <w:rPr>
                <w:b/>
                <w:bCs/>
              </w:rPr>
              <w:t xml:space="preserve">Value</w:t>
            </w:r>
          </w:p>
        </w:tc>
      </w:tr>
      <w:tr>
        <w:tc>
          <w:tcPr>
            <w:tcW w:type="dxa" w:w="4500"/>
          </w:tcPr>
          <w:p>
            <w:pPr>
              <w:spacing w:after="160"/>
            </w:pPr>
            <w:r>
              <w:t xml:space="preserve">Genome length</w:t>
            </w:r>
          </w:p>
        </w:tc>
        <w:tc>
          <w:tcPr>
            <w:tcW w:type="dxa" w:w="4500"/>
          </w:tcPr>
          <w:p>
            <w:pPr>
              <w:spacing w:after="160"/>
            </w:pPr>
            <w:r>
              <w:t xml:space="preserve">164,673 bp (circular)</w:t>
            </w:r>
          </w:p>
        </w:tc>
      </w:tr>
      <w:tr>
        <w:tc>
          <w:tcPr>
            <w:tcW w:type="dxa" w:w="4500"/>
          </w:tcPr>
          <w:p>
            <w:pPr>
              <w:spacing w:after="160"/>
            </w:pPr>
            <w:r>
              <w:t xml:space="preserve">Reference genome</w:t>
            </w:r>
          </w:p>
        </w:tc>
        <w:tc>
          <w:tcPr>
            <w:tcW w:type="dxa" w:w="4500"/>
          </w:tcPr>
          <w:p>
            <w:pPr>
              <w:spacing w:after="160"/>
            </w:pPr>
            <w:r>
              <w:t xml:space="preserve">MN709127.1, 164,674 bp</w:t>
            </w:r>
          </w:p>
        </w:tc>
      </w:tr>
      <w:tr>
        <w:tc>
          <w:tcPr>
            <w:tcW w:type="dxa" w:w="4500"/>
          </w:tcPr>
          <w:p>
            <w:pPr>
              <w:spacing w:after="160"/>
            </w:pPr>
            <w:r>
              <w:t xml:space="preserve">Predicted CDS (this study)</w:t>
            </w:r>
          </w:p>
        </w:tc>
        <w:tc>
          <w:tcPr>
            <w:tcW w:type="dxa" w:w="4500"/>
          </w:tcPr>
          <w:p>
            <w:pPr>
              <w:spacing w:after="160"/>
            </w:pPr>
            <w:r>
              <w:t xml:space="preserve">269</w:t>
            </w:r>
          </w:p>
        </w:tc>
      </w:tr>
      <w:tr>
        <w:tc>
          <w:tcPr>
            <w:tcW w:type="dxa" w:w="4500"/>
          </w:tcPr>
          <w:p>
            <w:pPr>
              <w:spacing w:after="160"/>
            </w:pPr>
            <w:r>
              <w:t xml:space="preserve">Reference CDS</w:t>
            </w:r>
          </w:p>
        </w:tc>
        <w:tc>
          <w:tcPr>
            <w:tcW w:type="dxa" w:w="4500"/>
          </w:tcPr>
          <w:p>
            <w:pPr>
              <w:spacing w:after="160"/>
            </w:pPr>
            <w:r>
              <w:t xml:space="preserve">274</w:t>
            </w:r>
          </w:p>
        </w:tc>
      </w:tr>
      <w:tr>
        <w:tc>
          <w:tcPr>
            <w:tcW w:type="dxa" w:w="4500"/>
          </w:tcPr>
          <w:p>
            <w:pPr>
              <w:spacing w:after="160"/>
            </w:pPr>
            <w:r>
              <w:t xml:space="preserve">Taxonomic classification</w:t>
            </w:r>
          </w:p>
        </w:tc>
        <w:tc>
          <w:tcPr>
            <w:tcW w:type="dxa" w:w="4500"/>
          </w:tcPr>
          <w:p>
            <w:pPr>
              <w:spacing w:after="160"/>
            </w:pPr>
            <w:r>
              <w:rPr>
                <w:i/>
                <w:iCs/>
              </w:rPr>
              <w:t xml:space="preserve">Krischvirus</w:t>
            </w:r>
            <w:r>
              <w:t xml:space="preserve">, Straboviridae, Pantevenvirales</w:t>
            </w:r>
          </w:p>
        </w:tc>
      </w:tr>
    </w:tbl>
    <w:p>
      <w:pPr>
        <w:spacing w:after="200"/>
      </w:pPr>
    </w:p>
    <w:p>
      <w:pPr>
        <w:pStyle w:val="Heading2"/>
        <w:spacing w:after="120" w:before="240"/>
      </w:pPr>
      <w:r>
        <w:t xml:space="preserve">3.2 Assembly quality control</w:t>
      </w:r>
    </w:p>
    <w:p>
      <w:pPr>
        <w:spacing w:after="160"/>
      </w:pPr>
      <w:r>
        <w:t xml:space="preserve">Mapping the complete SRR10671636 read set (9,387,393 read pairs) back to the finished, circularized genome showed that 98.99% of all reads in the pooled library mapped to this single contig, indicating </w:t>
      </w:r>
      <w:r>
        <w:rPr>
          <w:i/>
          <w:iCs/>
        </w:rPr>
        <w:t xml:space="preserve">Ec_Makalu_002</w:t>
      </w:r>
      <w:r>
        <w:t xml:space="preserve"> was the dominant organism recovered from the sequenced sample. Per-base depth was uniform across the genome (mean 14,962x, SD 2,426x across 1 kb windows; coefficient of variation ~16%), with no windows showing the abrupt depth discontinuities that would indicate a chimeric assembly of two or more co-occurring, unrelated phage genomes. After marking PCR/optical duplicates (51.5% duplicate rate, consistent with an estimated library complexity of ~5.5 million molecules at this sequencing depth), effective deduplicated coverage was approximately 8,200x. Reciprocal BLASTn of the terminal 500 bp at each end of the circularized sequence returned no significant hit, indicating that circularization reflects a genuine feature of the genome rather than an artificial forced overlap. Genome completeness and contamination were independently assessed with CheckV, which classified the assembly as High-quality with 98.88% estimated completeness (AAI-based) and 0% contamination (180/180 identified genes classified as viral, 0 host genes), with no evidence of proviral (integrated prophage) origin. Together, these results support a complete, non-chimeric, uncontaminated phage genome assembled from the pooled sequencing library.</w:t>
      </w:r>
    </w:p>
    <w:p>
      <w:pPr>
        <w:pStyle w:val="Heading2"/>
        <w:spacing w:after="120" w:before="240"/>
      </w:pPr>
      <w:r>
        <w:t xml:space="preserve">3.3 Long tail fiber gene</w:t>
      </w:r>
    </w:p>
    <w:p>
      <w:pPr>
        <w:spacing w:after="160"/>
      </w:pPr>
      <w:r>
        <w:t xml:space="preserve">The long tail fiber gene (host receptor-binding determinant) was localized to its correct coordinates and confirmed by direct comparison of the Bakta-translated protein against the reference protein (BLASTp: 99.92% identity, 1246/1246 aa aligned, no gaps). A single conservative substitution (Ala→Val at position 251) was identified as the only amino acid difference from the reference.</w:t>
      </w:r>
    </w:p>
    <w:p>
      <w:pPr>
        <w:spacing w:after="80" w:before="12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1238250"/>
                    </a:xfrm>
                    <a:prstGeom prst="rect">
                      <a:avLst/>
                    </a:prstGeom>
                  </pic:spPr>
                </pic:pic>
              </a:graphicData>
            </a:graphic>
          </wp:inline>
        </w:drawing>
      </w:r>
    </w:p>
    <w:p>
      <w:pPr>
        <w:spacing w:after="240"/>
        <w:jc w:val="center"/>
      </w:pPr>
      <w:r>
        <w:rPr>
          <w:i/>
          <w:iCs/>
          <w:sz w:val="20"/>
          <w:szCs w:val="20"/>
        </w:rPr>
        <w:t xml:space="preserve">Figure 1. Alignment of the long tail fiber protein (residues 235–266) showing the single amino acid difference between </w:t>
      </w:r>
      <w:r>
        <w:rPr>
          <w:i/>
          <w:iCs/>
          <w:sz w:val="20"/>
          <w:szCs w:val="20"/>
        </w:rPr>
        <w:t xml:space="preserve">Ec_Makalu_002</w:t>
      </w:r>
      <w:r>
        <w:rPr>
          <w:i/>
          <w:iCs/>
          <w:sz w:val="20"/>
          <w:szCs w:val="20"/>
        </w:rPr>
        <w:t xml:space="preserve"> and reference MN709127.1 at position 251 (Ala→Val). All other residues in the 1246 aa protein are identical.</w:t>
      </w:r>
    </w:p>
    <w:p>
      <w:pPr>
        <w:pStyle w:val="Heading2"/>
        <w:spacing w:after="120" w:before="240"/>
      </w:pPr>
      <w:r>
        <w:t xml:space="preserve">3.4 Whole-genome comparative annotation QC</w:t>
      </w:r>
    </w:p>
    <w:p>
      <w:pPr>
        <w:spacing w:after="160"/>
      </w:pPr>
      <w:r>
        <w:t xml:space="preserve">Reciprocal BLASTp identified confident best hits for 268 of 269 </w:t>
      </w:r>
      <w:r>
        <w:rPr>
          <w:i/>
          <w:iCs/>
        </w:rPr>
        <w:t xml:space="preserve">Ec_Makalu_002</w:t>
      </w:r>
      <w:r>
        <w:t xml:space="preserve"> CDS and 268 of 274 reference CDS. The seven apparent discrepancies — six short (34–81 aa) reference-annotated hypothetical proteins with no corresponding Bakta call, and one Bakta-called hypothetical protein (GLGIAI_0194) with no reciprocal reference hit — were each resolved by nucleotide-level BLASTn against the counterpart genome. In every case, the underlying DNA sequence was found at 100% identity and full length in the counterpart genome. We conclude that </w:t>
      </w:r>
      <w:r>
        <w:rPr>
          <w:i/>
          <w:iCs/>
        </w:rPr>
        <w:t xml:space="preserve">Ec_Makalu_002</w:t>
      </w:r>
      <w:r>
        <w:t xml:space="preserve"> and its reference relative share fully conserved gene content, and that the apparent discrepancies reflect differences in ORF-calling sensitivity between annotation pipelines (Bakta/Pyrodigal vs. the original submission's pipeline) rather than true insertions, deletions, or sequence divergence.</w:t>
      </w:r>
    </w:p>
    <w:p>
      <w:pPr>
        <w:pStyle w:val="Heading2"/>
        <w:spacing w:after="120" w:before="240"/>
      </w:pPr>
      <w:r>
        <w:t xml:space="preserve">3.5 Genus-level phylogeny and a putative mobile intein</w:t>
      </w:r>
    </w:p>
    <w:p>
      <w:pPr>
        <w:spacing w:after="160"/>
      </w:pPr>
      <w:r>
        <w:t xml:space="preserve">Maximum-likelihood phylogenetic analysis of the terminase large subunit across 16 </w:t>
      </w:r>
      <w:r>
        <w:rPr>
          <w:i/>
          <w:iCs/>
        </w:rPr>
        <w:t xml:space="preserve">Krischvirus</w:t>
      </w:r>
      <w:r>
        <w:t xml:space="preserve"> and related taxa placed </w:t>
      </w:r>
      <w:r>
        <w:rPr>
          <w:i/>
          <w:iCs/>
        </w:rPr>
        <w:t xml:space="preserve">Ec_Makalu_002</w:t>
      </w:r>
      <w:r>
        <w:t xml:space="preserve"> within a well-supported subclade alongside </w:t>
      </w:r>
      <w:r>
        <w:rPr>
          <w:i/>
          <w:iCs/>
        </w:rPr>
        <w:t xml:space="preserve">Ec_Makalu_003</w:t>
      </w:r>
      <w:r>
        <w:t xml:space="preserve">, ECD7, and AV108 (bootstrap support ≥ 89 at the relevant nodes). This subclade is distinguished by a ~330 amino acid insertion in the terminase large subunit (alignment positions 165–496) that is absent from the majority of genus members, including the closely related JSE, RB49, and several others, which carry the canonical ~607 amino acid form.</w:t>
      </w:r>
    </w:p>
    <w:p>
      <w:pPr>
        <w:spacing w:after="80" w:before="120"/>
        <w:jc w:val="center"/>
      </w:pPr>
      <w:r>
        <w:drawing>
          <wp:inline distT="0" distB="0" distL="0" distR="0">
            <wp:extent cx="47625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810000"/>
                    </a:xfrm>
                    <a:prstGeom prst="rect">
                      <a:avLst/>
                    </a:prstGeom>
                  </pic:spPr>
                </pic:pic>
              </a:graphicData>
            </a:graphic>
          </wp:inline>
        </w:drawing>
      </w:r>
    </w:p>
    <w:p>
      <w:pPr>
        <w:spacing w:after="240"/>
        <w:jc w:val="center"/>
      </w:pPr>
      <w:r>
        <w:rPr>
          <w:i/>
          <w:iCs/>
          <w:sz w:val="20"/>
          <w:szCs w:val="20"/>
        </w:rPr>
        <w:t xml:space="preserve">Figure 2. Maximum-likelihood phylogeny of the terminase large subunit across 16 </w:t>
      </w:r>
      <w:r>
        <w:rPr>
          <w:i/>
          <w:iCs/>
          <w:sz w:val="20"/>
          <w:szCs w:val="20"/>
        </w:rPr>
        <w:t xml:space="preserve">Krischvirus</w:t>
      </w:r>
      <w:r>
        <w:rPr>
          <w:i/>
          <w:iCs/>
          <w:sz w:val="20"/>
          <w:szCs w:val="20"/>
        </w:rPr>
        <w:t xml:space="preserve"> and related taxa (IQ-TREE, 1000 ultrafast bootstrap replicates; values shown at nodes). </w:t>
      </w:r>
      <w:r>
        <w:rPr>
          <w:i/>
          <w:iCs/>
          <w:sz w:val="20"/>
          <w:szCs w:val="20"/>
        </w:rPr>
        <w:t xml:space="preserve">Ec_Makalu_002</w:t>
      </w:r>
      <w:r>
        <w:rPr>
          <w:i/>
          <w:iCs/>
          <w:sz w:val="20"/>
          <w:szCs w:val="20"/>
        </w:rPr>
        <w:t xml:space="preserve"> falls within a well-supported subclade (bootstrap ≥ 89) alongside </w:t>
      </w:r>
      <w:r>
        <w:rPr>
          <w:i/>
          <w:iCs/>
          <w:sz w:val="20"/>
          <w:szCs w:val="20"/>
        </w:rPr>
        <w:t xml:space="preserve">Ec_Makalu_003</w:t>
      </w:r>
      <w:r>
        <w:rPr>
          <w:i/>
          <w:iCs/>
          <w:sz w:val="20"/>
          <w:szCs w:val="20"/>
        </w:rPr>
        <w:t xml:space="preserve">, ECD7, JSE, and AV108, distinguished by a ~330 aa insertion in the terminase large subunit absent from the rest of the genus.</w:t>
      </w:r>
    </w:p>
    <w:p>
      <w:pPr>
        <w:spacing w:after="160"/>
      </w:pPr>
      <w:r>
        <w:t xml:space="preserve">The insertion bears three independent hallmarks of a group I mobile intein: (i) it begins with alanine, one of the four residues (Cys/Ser/Ala/Gln) found at the canonical intein N-terminal splice junction; (ii) it ends with the dipeptide His-Asn, the canonical C-terminal Block G splicing motif found in essentially all characterized inteins; and (iii) its central third contains a cluster of seven histidine residues (of nine total in the insertion), consistent with an embedded HNH-family homing endonuclease domain, the hallmark of “full-length” mobile inteins capable of intein homing.</w:t>
      </w:r>
    </w:p>
    <w:p>
      <w:pPr>
        <w:spacing w:after="160"/>
      </w:pPr>
      <w:r>
        <w:t xml:space="preserve">A shorter (222 aa), independent insertion was also identified in the more distantly related genus member suisiam. This insertion shares 221 of 222 aligned columns with the larger insertion found in the </w:t>
      </w:r>
      <w:r>
        <w:rPr>
          <w:i/>
          <w:iCs/>
        </w:rPr>
        <w:t xml:space="preserve">Ec_Makalu_002</w:t>
      </w:r>
      <w:r>
        <w:t xml:space="preserve"> subclade, and the flanking terminase sequence outside the insertion is 100% identical between suisiam and the canonical-length genus members (e.g., GEC-3S). This suggests the insertion site is a recurrent hotspot for intein insertion within the </w:t>
      </w:r>
      <w:r>
        <w:rPr>
          <w:i/>
          <w:iCs/>
        </w:rPr>
        <w:t xml:space="preserve">Krischvirus</w:t>
      </w:r>
      <w:r>
        <w:t xml:space="preserve"> terminase large subunit gene, rather than a single, lineage-specific event.</w:t>
      </w:r>
    </w:p>
    <w:p>
      <w:pPr>
        <w:spacing w:after="80" w:before="120"/>
        <w:jc w:val="center"/>
      </w:pPr>
      <w:r>
        <w:drawing>
          <wp:inline distT="0" distB="0" distL="0" distR="0">
            <wp:extent cx="5334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457325"/>
                    </a:xfrm>
                    <a:prstGeom prst="rect">
                      <a:avLst/>
                    </a:prstGeom>
                  </pic:spPr>
                </pic:pic>
              </a:graphicData>
            </a:graphic>
          </wp:inline>
        </w:drawing>
      </w:r>
    </w:p>
    <w:p>
      <w:pPr>
        <w:spacing w:after="240"/>
        <w:jc w:val="center"/>
      </w:pPr>
      <w:r>
        <w:rPr>
          <w:i/>
          <w:iCs/>
          <w:sz w:val="20"/>
          <w:szCs w:val="20"/>
        </w:rPr>
        <w:t xml:space="preserve">Figure 3. Alignment of the terminase large subunit insertion region across taxa carrying it. All five sequences share the N-terminal alanine splice-junction residue (green) and the C-terminal His-Asn splicing motif (blue) diagnostic of group I inteins. The shorter suisiam variant shares these same flanking motifs despite a divergent internal sequence, consistent with an independent insertion at the same site.</w:t>
      </w:r>
    </w:p>
    <w:p>
      <w:pPr>
        <w:spacing w:after="160"/>
      </w:pPr>
      <w:r>
        <w:t xml:space="preserve">We note this finding as a well-supported sequence-based hypothesis. A confirmatory search against curated intein or domain databases (e.g., InBase, or a Pfam Intein_splicing domain search) was attempted but did not complete within a practical time frame; we regard this as a natural and low-effort next step to formally confirm the intein assignment.</w:t>
      </w:r>
    </w:p>
    <w:p>
      <w:pPr>
        <w:pStyle w:val="Heading2"/>
        <w:spacing w:after="120" w:before="240"/>
      </w:pPr>
      <w:r>
        <w:t xml:space="preserve">3.6 GLGIAI_0263: a compact protein of uncertain function</w:t>
      </w:r>
    </w:p>
    <w:p>
      <w:pPr>
        <w:spacing w:after="160"/>
      </w:pPr>
      <w:r>
        <w:t xml:space="preserve">A 109 amino acid CDS (GLGIAI_0263) showed only distant homology (70.9% identity) to an uncharacterized ECD7 protein, and no confident Pfam-A domain hit via HMMER search. Given its compact size — consistent with, though not diagnostic of, small homing endonuclease domains such as GIY-YIG — and the original NCBI submission's own qualified annotation of the homologous ECD7 locus (“putative homing endonuclease, HNH family”), we conservatively label this gene “putative homing endonuclease” throughout the annotation, pending further evidence such as structural prediction.</w:t>
      </w:r>
    </w:p>
    <w:p>
      <w:pPr>
        <w:pStyle w:val="Heading1"/>
        <w:spacing w:after="160" w:before="320"/>
      </w:pPr>
      <w:r>
        <w:t xml:space="preserve">4. Discussion</w:t>
      </w:r>
    </w:p>
    <w:p>
      <w:pPr>
        <w:spacing w:after="160"/>
      </w:pPr>
      <w:r>
        <w:t xml:space="preserve">This analysis demonstrates that a systematic, verification-driven approach to phage genome annotation can surface genuine comparative-genomics findings beyond routine gene calling. Two aspects of this work are worth highlighting. First, apparent annotation discrepancies — whether between two annotation pipelines applied to closely related genomes, or between a first-pass automated analysis and a corrected one — should be resolved at the nucleotide level wherever possible; several findings in this study that initially appeared to indicate genuine biological differences (missing genes, divergent regions) were resolved as artifacts of gene-calling sensitivity or coordinate errors upon closer inspection. Second, the identification of a putative mobile intein at a recurrent insertion site in the terminase large subunit adds </w:t>
      </w:r>
      <w:r>
        <w:rPr>
          <w:i/>
          <w:iCs/>
        </w:rPr>
        <w:t xml:space="preserve">Ec_Makalu_002</w:t>
      </w:r>
      <w:r>
        <w:t xml:space="preserve"> and its close relatives to a growing body of evidence that phage terminase genes are hotspots for intein invasion. This is directly consistent with a large-scale survey of mycobacteriophage genomes, in which the terminase large subunit was identified as one of the genes most frequently and independently invaded by inteins, with several such phage TerL inteins shown biochemically to be splicing-competent and to encode functional homing endonucleases [3]. Our finding that the Ec_Makalu_002 subclade insertion and the shorter, independent suisiam insertion share the same alignment position but differ in internal sequence is itself consistent with the pattern of multiple independent invasion events at a single site described in that work, rather than a single inherited insertion. If confirmed, this finding would be of interest both for understanding </w:t>
      </w:r>
      <w:r>
        <w:rPr>
          <w:i/>
          <w:iCs/>
        </w:rPr>
        <w:t xml:space="preserve">Krischvirus</w:t>
      </w:r>
      <w:r>
        <w:t xml:space="preserve"> genome evolution and, more broadly, for protein engineering applications, where inteins have been widely exploited as self-cleaving affinity tags and for expressed protein ligation [5].</w:t>
      </w:r>
    </w:p>
    <w:p>
      <w:pPr>
        <w:spacing w:after="160"/>
      </w:pPr>
      <w:r>
        <w:t xml:space="preserve">Limitations of this study include the reliance on a single conserved marker gene (terminase large subunit) for phylogenetic placement, rather than a whole-genome or multi-gene concatenated approach, and the lack of formal domain-database confirmation of the intein hypothesis due to intermittent connectivity to NCBI's remote search services during this analysis. Both represent natural extensions of this work.</w:t>
      </w:r>
    </w:p>
    <w:p>
      <w:pPr>
        <w:pStyle w:val="Heading1"/>
        <w:spacing w:after="160" w:before="320"/>
      </w:pPr>
      <w:r>
        <w:t xml:space="preserve">5. Future directions</w:t>
      </w:r>
    </w:p>
    <w:p>
      <w:pPr>
        <w:pStyle w:val="ListParagraph"/>
        <w:numPr>
          <w:ilvl w:val="0"/>
          <w:numId w:val="1"/>
        </w:numPr>
        <w:spacing w:after="80"/>
      </w:pPr>
      <w:r>
        <w:t xml:space="preserve">Confirm the intein assignment via InBase or a dedicated Pfam Intein_splicing domain search.</w:t>
      </w:r>
    </w:p>
    <w:p>
      <w:pPr>
        <w:pStyle w:val="ListParagraph"/>
        <w:numPr>
          <w:ilvl w:val="0"/>
          <w:numId w:val="1"/>
        </w:numPr>
        <w:spacing w:after="80"/>
      </w:pPr>
      <w:r>
        <w:t xml:space="preserve">Extend the phylogenetic analysis to additional conserved core genes (e.g., major capsid protein, portal protein) and/or a whole-genome distance-based approach for a more robust species tree.</w:t>
      </w:r>
    </w:p>
    <w:p>
      <w:pPr>
        <w:pStyle w:val="ListParagraph"/>
        <w:numPr>
          <w:ilvl w:val="0"/>
          <w:numId w:val="1"/>
        </w:numPr>
        <w:spacing w:after="80"/>
      </w:pPr>
      <w:r>
        <w:t xml:space="preserve">Structural prediction (e.g., AlphaFold/ColabFold) of GLGIAI_0263 to test for a nuclease-like fold despite the absence of a confident sequence-based domain hit.</w:t>
      </w:r>
    </w:p>
    <w:p>
      <w:pPr>
        <w:pStyle w:val="ListParagraph"/>
        <w:numPr>
          <w:ilvl w:val="0"/>
          <w:numId w:val="1"/>
        </w:numPr>
        <w:spacing w:after="80"/>
      </w:pPr>
      <w:r>
        <w:t xml:space="preserve">Structural comparison of the long tail fiber receptor-binding domain against characterized T4-like tail fibers, to explore host-range determinants.</w:t>
      </w:r>
    </w:p>
    <w:p>
      <w:pPr>
        <w:pStyle w:val="ListParagraph"/>
        <w:numPr>
          <w:ilvl w:val="0"/>
          <w:numId w:val="1"/>
        </w:numPr>
        <w:spacing w:after="80"/>
      </w:pPr>
      <w:r>
        <w:t xml:space="preserve">PHASTER analysis to further characterize genome architecture and cross-validate the non-prophage conclusion already supported by CheckV (Section 3.2).</w:t>
      </w:r>
    </w:p>
    <w:p>
      <w:pPr>
        <w:pStyle w:val="Heading1"/>
        <w:spacing w:after="160" w:before="320"/>
      </w:pPr>
      <w:r>
        <w:t xml:space="preserve">Data and code availability</w:t>
      </w:r>
    </w:p>
    <w:p>
      <w:pPr>
        <w:spacing w:after="160"/>
      </w:pPr>
      <w:r>
        <w:t xml:space="preserve">The genome assembly, Bakta annotation, comparative analysis scripts, and phylogenetic pipeline described here are available at: https://github.com/devkotapareekshya/Ec_Makalu_002-phage-genome.</w:t>
      </w:r>
    </w:p>
    <w:p>
      <w:pPr>
        <w:pStyle w:val="Heading1"/>
        <w:spacing w:after="160" w:before="320"/>
      </w:pPr>
      <w:r>
        <w:t xml:space="preserve">References</w:t>
      </w:r>
    </w:p>
    <w:p>
      <w:pPr>
        <w:spacing w:after="120"/>
      </w:pPr>
      <w:r>
        <w:t xml:space="preserve">[1] Xiao T, Zhu X, Wang W, Jia X, Guo C, Wang X, Hao Z. A novel lytic bacteriophage against colistin-resistant </w:t>
      </w:r>
      <w:r>
        <w:rPr>
          <w:i/>
          <w:iCs/>
        </w:rPr>
        <w:t xml:space="preserve">Escherichia coli</w:t>
      </w:r>
      <w:r>
        <w:t xml:space="preserve"> isolated from different animals. Virus Res. 2023;329:199090.</w:t>
      </w:r>
    </w:p>
    <w:p>
      <w:pPr>
        <w:spacing w:after="120"/>
      </w:pPr>
      <w:r>
        <w:t xml:space="preserve">[2] Novikova O, Topilina N, Belfort M. Enigmatic distribution, evolution, and function of inteins. J Biol Chem. 2014;289(21):14490-14497.</w:t>
      </w:r>
    </w:p>
    <w:p>
      <w:pPr>
        <w:spacing w:after="120"/>
      </w:pPr>
      <w:r>
        <w:t xml:space="preserve">[3] Kelley DS, Lennon CW, Belfort M, Novikova O. Mycobacteriophages as incubators for intein dissemination and evolution. mBio. 2016;7(5):e01537-16.</w:t>
      </w:r>
    </w:p>
    <w:p>
      <w:pPr>
        <w:spacing w:after="120"/>
      </w:pPr>
      <w:r>
        <w:t xml:space="preserve">[4] NCBI Sequence Read Archive, accession SRR10671636, BioProject PRJNA594990 (submitted by Tribhuvan University). Accessed via NCBI SRA.</w:t>
      </w:r>
    </w:p>
    <w:p>
      <w:pPr>
        <w:spacing w:after="120"/>
      </w:pPr>
      <w:r>
        <w:t xml:space="preserve">[5] Wood DW, Camarero JA. Intein applications: from protein purification and labeling to metabolic control methods. J Biol Chem. 2014;289(21):14512-14519.</w:t>
      </w:r>
    </w:p>
    <w:p>
      <w:pPr>
        <w:spacing w:after="120"/>
      </w:pPr>
      <w:r>
        <w:t xml:space="preserve">[6] Mitchell MS, Matsuzaki S, Imai S, Rao VB. Sequence analysis of bacteriophage T4 DNA packaging/terminase genes 16 and 17 reveals a common ATPase center in the large subunit of viral terminases. Nucleic Acids Res. 2002;30(18):4009-4021.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8ab9aa99776e6d5f2fd2e829ed62577711e3c3b.png"/><Relationship Id="rId8" Type="http://schemas.openxmlformats.org/officeDocument/2006/relationships/image" Target="media/545ec2cd160c310c897c3e35af262421d3cf2ffd.png"/><Relationship Id="rId9" Type="http://schemas.openxmlformats.org/officeDocument/2006/relationships/image" Target="media/7c5b43eacecf5b04635e2b70d821cdd17228ffd5.png"/><Relationship Id="rId10" Type="http://schemas.openxmlformats.org/officeDocument/2006/relationships/fontTable" Target="fontTable.xml"/><Relationship Id="rId11" Type="http://schemas.openxmlformats.org/officeDocument/2006/relationships/image" Target="media/genome_map_v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2026-09-26T11:42:06.129Z</dcterms:created>
  <dcterms:modified xsi:type="dcterms:W3CDTF">2026-09-26T11:42:06.139Z</dcterms:modified>
</cp:coreProperties>
</file>

<file path=docProps/custom.xml><?xml version="1.0" encoding="utf-8"?>
<Properties xmlns="http://schemas.openxmlformats.org/officeDocument/2006/custom-properties" xmlns:vt="http://schemas.openxmlformats.org/officeDocument/2006/docPropsVTypes"/>
</file>