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SWR-001_SW 요구사항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전자식 차일드락 제어 SW (OEM-A 가상 프로젝트, 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SWR-001_SW 요구사항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G1 베이스라인 BL-SWR-1.0 이전 단계)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requirements-analyst(Claude Code) / 검토: 사용자 검토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t>이 문서의 작성·검토·승인 책임과 베이스라인은 아래와 같다.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requirements-analyst(AI)</w:t>
            </w:r>
          </w:p>
        </w:tc>
        <w:tc>
          <w:tcPr>
            <w:tcW w:type="dxa" w:w="1972"/>
          </w:tcPr>
          <w:p>
            <w:r>
              <w:t>Phase 1(OEM-SR-001~004, ASIL B) SWR-005/006/007/008/009/013a/013b/021a/021b 초안 작성</w:t>
            </w:r>
          </w:p>
        </w:tc>
        <w:tc>
          <w:tcPr>
            <w:tcW w:type="dxa" w:w="1972"/>
          </w:tcPr>
          <w:p>
            <w:r>
              <w:t>사용자 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requirements-analyst 서브에이전트</w:t>
            </w:r>
          </w:p>
        </w:tc>
        <w:tc>
          <w:tcPr>
            <w:tcW w:type="dxa" w:w="1972"/>
          </w:tcPr>
          <w:p>
            <w:r>
              <w:t>완료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v0.1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사용자(프로젝트 책임자)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미수행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미수행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t>아래는 이 문서의 목차이다(Word에서 열람 시 자동 목차 갱신 가능).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t>이 문서의 목적, 적용범위, 적용 경계는 아래 1.1~1.3절과 같다.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t>가상 OEM-A가 OEM-SWR-001 사양서로 내려준 전자식 차일드락 제어 SW 요구사항 중, Phase 1(ASIL B 안전 핵심 로직: OEM-SR-001~004)을 SW 요구사항(SWR) 수준으로 구체화하여, 이후 아키텍처 설계(SWE.2)·상세설계(SWE.3)·구현·시험의 근거로 삼는다.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t>대한민국 판매용 가상 OEM-A 승용차의 후석 좌/우 전자식 차일드락 제어 SW 중, 충돌 시 긴급 해제(SR-001), 후측방 접근위험 시 잠금 유지(SR-002), 안전 입력 유효성/freshness 검증(SR-003), 센서 고장 시 출력 유지(SR-004)에 대응하는 SW 요구사항을 다룬다.</w:t>
      </w:r>
    </w:p>
    <w:p>
      <w:r>
        <w:rPr>
          <w:b w:val="0"/>
        </w:rPr>
        <w:t>OEM-FR(운전자 명령 등 QM 기능)과 OEM-NFR(결정론, 이력 저장)은 Phase 2·3에서 이 문서의 이후 리비전에 추가된다.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t>HIL, 실차, 타깃 ECU, 시스템/HW 개발, ISO 26262 Part 3 HARA, 공식 심사·인증은 범위 밖이다(OEM-SWR-001 1.3절과 동일).</w:t>
      </w:r>
    </w:p>
    <w:p>
      <w:r>
        <w:rPr>
          <w:b w:val="0"/>
        </w:rPr>
        <w:t>PC/SIL 검증은 별도 상용 툴체인이 아니라 이 프로젝트의 Python 3.14 기반 unittest + integration-tester/sw-system-tester 파이프라인으로 수행한다(2026-09-18 사용자 확정).</w:t>
      </w:r>
    </w:p>
    <w:p>
      <w:pPr>
        <w:pStyle w:val="Heading1"/>
      </w:pPr>
      <w:r>
        <w:t>2. 요구사항 작성 및 판정 규칙</w:t>
      </w:r>
    </w:p>
    <w:p>
      <w:pPr>
        <w:spacing w:after="160"/>
        <w:ind w:left="198" w:right="113"/>
      </w:pPr>
      <w:r>
        <w:t>요구사항 식별 규칙과 품질 판정 기준은 아래 2.1~2.2절과 같다.</w:t>
      </w:r>
    </w:p>
    <w:p>
      <w:pPr>
        <w:pStyle w:val="Heading2"/>
      </w:pPr>
      <w:r>
        <w:t>2.1 식별 및 상태 규칙</w:t>
      </w:r>
    </w:p>
    <w:p>
      <w:pPr>
        <w:spacing w:after="160"/>
        <w:ind w:left="198" w:right="113"/>
      </w:pPr>
      <w:r>
        <w:t>요구사항 ID는 OEM-SWR-001 사양서 9장 추적성표가 이미 지정한 SWR-NNN 체계를 그대로 사용한다 (공급자 자체 REQ-F-NNN/REQ-NF-NNN 체계 대신 고객 지정 번호를 채택; 유형 구분은 4장 표의 "유형" 열로 표기).</w:t>
      </w:r>
    </w:p>
    <w:p>
      <w:r>
        <w:rPr>
          <w:b w:val="0"/>
        </w:rPr>
        <w:t>한 SWR ID가 원자성 원칙(§2.2)에 따라 여러 하위 동작으로 분리되어야 하는 경우 SWR-NNNa, SWR-NNNb ...로 서브 절 ID를 부여하고, 상위 SWR-NNN은 OEM 추적표 상의 그룹 ID로 유지한다 (예: SWR-013 → SWR-013a/013b).</w:t>
      </w:r>
    </w:p>
    <w:p>
      <w:r>
        <w:rPr>
          <w:b w:val="0"/>
        </w:rPr>
        <w:t>상태값: 초안(작성 완료, 검토 전) / 검토중(리뷰 진행) / 승인(사용자 승인 및 main 브랜치 병합 완료). 번호는 재사용하지 않는다(삭제된 요구사항의 번호도 결번으로 남긴다).</w:t>
      </w:r>
    </w:p>
    <w:p>
      <w:pPr>
        <w:pStyle w:val="Heading2"/>
      </w:pPr>
      <w:r>
        <w:t>2.2 품질 판정 기준</w:t>
      </w:r>
    </w:p>
    <w:p>
      <w:pPr>
        <w:spacing w:after="160"/>
        <w:ind w:left="198" w:right="113"/>
      </w:pPr>
      <w:r>
        <w:t>EARS 구문(유비쿼터스/이벤트기반/상태기반/선택기능/원치않는동작), 원자성(한 문장 = 한 요구), 모호어 금지("적절히", "충분히" 등), 능동태·주어 명시, 용어집 일관성을 요구사항분석 스킬 §2 기준 그대로 적용한다.</w:t>
      </w:r>
    </w:p>
    <w:p>
      <w:r>
        <w:rPr>
          <w:b w:val="0"/>
        </w:rPr>
        <w:t>비기능요구사항(이번 phase 해당 없음, Phase 3에서 추가)은 ISO/IEC 25010 품질특성으로 분류하고, 도구·절차·정량 임계값·판정기준을 모두 갖춘 검증 방안만 인정한다(요구사항분석 스킬 §4).</w:t>
      </w:r>
    </w:p>
    <w:p>
      <w:pPr>
        <w:pStyle w:val="Heading1"/>
      </w:pPr>
      <w:r>
        <w:t>3. 상태와 우선순위</w:t>
      </w:r>
    </w:p>
    <w:p>
      <w:pPr>
        <w:spacing w:after="160"/>
        <w:ind w:left="198" w:right="113"/>
      </w:pPr>
      <w:r>
        <w:t>상태: 초안 / 검토중 / 승인. 이번 리비전(0.1)의 모든 SWR 항목은 "초안" 상태이며, 사용자 리뷰 승인과 동시에 "승인"으로 전이하고 이 브랜치를 main에 병합한다.</w:t>
      </w:r>
    </w:p>
    <w:p>
      <w:r>
        <w:rPr>
          <w:b w:val="0"/>
        </w:rPr>
        <w:t>우선순위: 필수 / 권장 / 선택. 이번 phase의 항목은 전부 ASIL B 안전요구로서 "필수"이다.</w:t>
      </w:r>
    </w:p>
    <w:p>
      <w:pPr>
        <w:pStyle w:val="Heading1"/>
      </w:pPr>
      <w:r>
        <w:t>4. 기능 및 안전 관련 SW 요구사항</w:t>
      </w:r>
    </w:p>
    <w:p>
      <w:pPr>
        <w:spacing w:after="160"/>
        <w:ind w:left="198" w:right="113"/>
      </w:pPr>
      <w:r>
        <w:t>이번 phase의 기능/안전 요구사항은 아래 4.1~4.2절과 같다.</w:t>
      </w:r>
    </w:p>
    <w:p>
      <w:pPr>
        <w:pStyle w:val="Heading2"/>
      </w:pPr>
      <w:r>
        <w:t>4.1 기능 요구사항</w:t>
      </w:r>
    </w:p>
    <w:p>
      <w:pPr>
        <w:spacing w:after="160"/>
        <w:ind w:left="198" w:right="113"/>
      </w:pPr>
      <w:r>
        <w:t>이번 리비전(Phase 1)에는 QM 등급 기능요구사항이 없다. OEM-FR-001~007에서 파생되는 SWR 항목은 Phase 2·3에서 이 절에 추가된다.</w:t>
      </w:r>
    </w:p>
    <w:p>
      <w:pPr>
        <w:pStyle w:val="Heading2"/>
      </w:pPr>
      <w:r>
        <w:t>4.2 안전 관련 SW 요구사항</w:t>
      </w:r>
    </w:p>
    <w:p>
      <w:pPr>
        <w:spacing w:after="160"/>
        <w:ind w:left="198" w:right="113"/>
      </w:pPr>
      <w:r>
        <w:t>OEM-SR-001~004(ASIL B 입력)로부터 파생한 이번 phase의 안전 관련 SW 요구사항은 다음과 같다. ASIL 등급은 OEM-A가 제공한 값을 그대로 상속하며, HARA·ASIL 결정 근거는 재구성하지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출처(OEM)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서술(EARS)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정량 기준</w:t>
            </w:r>
          </w:p>
        </w:tc>
        <w:tc>
          <w:tcPr>
            <w:tcW w:type="dxa" w:w="1408"/>
          </w:tcPr>
          <w:p>
            <w:r>
              <w:rPr>
                <w:b/>
              </w:rPr>
              <w:t>ASIL/안전목표</w:t>
            </w:r>
          </w:p>
        </w:tc>
        <w:tc>
          <w:tcPr>
            <w:tcW w:type="dxa" w:w="1408"/>
          </w:tcPr>
          <w:p>
            <w:r>
              <w:rPr>
                <w:b/>
              </w:rPr>
              <w:t>검증방법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408"/>
          </w:tcPr>
          <w:p>
            <w:r>
              <w:t>SWR-007</w:t>
            </w:r>
          </w:p>
        </w:tc>
        <w:tc>
          <w:tcPr>
            <w:tcW w:type="dxa" w:w="1408"/>
          </w:tcPr>
          <w:p>
            <w:r>
              <w:t>OEM-SR-001</w:t>
            </w:r>
          </w:p>
        </w:tc>
        <w:tc>
          <w:tcPr>
            <w:tcW w:type="dxa" w:w="1408"/>
          </w:tcPr>
          <w:p>
            <w:r>
              <w:t>crash_status가 CONFIRMED로 전이하면, SW는 접근위험으로 인한 잠금 유지(SWR-005/006)를 포함한 다른 모든 판단보다 우선하여 후석 좌 및 우 도어 출력을 RELEASE로 설정해야 한다.</w:t>
            </w:r>
          </w:p>
        </w:tc>
        <w:tc>
          <w:tcPr>
            <w:tcW w:type="dxa" w:w="1408"/>
          </w:tcPr>
          <w:p>
            <w:r>
              <w:t>전이 후 300ms 이내 두 출력 RELEASE, 이후 입력 주기에도 RELEASE 유지. (2026-09-18 확정: 충돌이 접근위험보다 항상 우선)</w:t>
            </w:r>
          </w:p>
        </w:tc>
        <w:tc>
          <w:tcPr>
            <w:tcW w:type="dxa" w:w="1408"/>
          </w:tcPr>
          <w:p>
            <w:r>
              <w:t>ASIL B(OEM 입력 상속, HARA 재구성 안 함) / 안전목표: OEM 미제공(SG 식별자 TBD)</w:t>
            </w:r>
          </w:p>
        </w:tc>
        <w:tc>
          <w:tcPr>
            <w:tcW w:type="dxa" w:w="1408"/>
          </w:tcPr>
          <w:p>
            <w:r>
              <w:t>PC/SIL(unittest+integration-tester), 요구사항 기반 시험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SWR-008</w:t>
            </w:r>
          </w:p>
        </w:tc>
        <w:tc>
          <w:tcPr>
            <w:tcW w:type="dxa" w:w="1408"/>
          </w:tcPr>
          <w:p>
            <w:r>
              <w:t>OEM-SR-001</w:t>
            </w:r>
          </w:p>
        </w:tc>
        <w:tc>
          <w:tcPr>
            <w:tcW w:type="dxa" w:w="1408"/>
          </w:tcPr>
          <w:p>
            <w:r>
              <w:t>crash_status가 PENDING이거나 NONE인 동안, SW는 SWR-007에 의한 강제 RELEASE 동작을 적용하지 않아야 한다(다른 요구사항에 의한 판단은 그대로 유지된다).</w:t>
            </w:r>
          </w:p>
        </w:tc>
        <w:tc>
          <w:tcPr>
            <w:tcW w:type="dxa" w:w="1408"/>
          </w:tcPr>
          <w:p>
            <w:r>
              <w:t>PENDING/NONE 상태에서 crash 관련 강제 출력 변화 없음.</w:t>
            </w:r>
          </w:p>
        </w:tc>
        <w:tc>
          <w:tcPr>
            <w:tcW w:type="dxa" w:w="1408"/>
          </w:tcPr>
          <w:p>
            <w:r>
              <w:t>ASIL B / 안전목표 TBD. 비고: 2026-09-18 사용자 확정 - PENDING은 NONE과 동일 취급(가장 보수적 해석). OEM 원문에 PENDING 시 동작이 명시되어 있지 않아 OEM 재확인 필요 항목으로 §8에 기록.</w:t>
            </w:r>
          </w:p>
        </w:tc>
        <w:tc>
          <w:tcPr>
            <w:tcW w:type="dxa" w:w="1408"/>
          </w:tcPr>
          <w:p>
            <w:r>
              <w:t>PC/SIL, 오류추정(PENDING 입력을 CONFIRMED로 오판하지 않는지 확인)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SWR-005</w:t>
            </w:r>
          </w:p>
        </w:tc>
        <w:tc>
          <w:tcPr>
            <w:tcW w:type="dxa" w:w="1408"/>
          </w:tcPr>
          <w:p>
            <w:r>
              <w:t>OEM-SR-002</w:t>
            </w:r>
          </w:p>
        </w:tc>
        <w:tc>
          <w:tcPr>
            <w:tcW w:type="dxa" w:w="1408"/>
          </w:tcPr>
          <w:p>
            <w:r>
              <w:t>특정 후석 도어의 접근위험 입력이 TRUE인 동안, SW는 해당 도어 출력을 LOCK으로 유지해야 한다. 단, crash_status가 CONFIRMED인 경우 SWR-007이 우선한다.</w:t>
            </w:r>
          </w:p>
        </w:tc>
        <w:tc>
          <w:tcPr>
            <w:tcW w:type="dxa" w:w="1408"/>
          </w:tcPr>
          <w:p>
            <w:r>
              <w:t>접근위험 TRUE 전이 시점 다음 평가주기부터 해당 출력 LOCK.</w:t>
            </w:r>
          </w:p>
        </w:tc>
        <w:tc>
          <w:tcPr>
            <w:tcW w:type="dxa" w:w="1408"/>
          </w:tcPr>
          <w:p>
            <w:r>
              <w:t>ASIL B / 안전목표 TBD</w:t>
            </w:r>
          </w:p>
        </w:tc>
        <w:tc>
          <w:tcPr>
            <w:tcW w:type="dxa" w:w="1408"/>
          </w:tcPr>
          <w:p>
            <w:r>
              <w:t>PC/SIL, 상태기반 시험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SWR-006</w:t>
            </w:r>
          </w:p>
        </w:tc>
        <w:tc>
          <w:tcPr>
            <w:tcW w:type="dxa" w:w="1408"/>
          </w:tcPr>
          <w:p>
            <w:r>
              <w:t>OEM-SR-002</w:t>
            </w:r>
          </w:p>
        </w:tc>
        <w:tc>
          <w:tcPr>
            <w:tcW w:type="dxa" w:w="1408"/>
          </w:tcPr>
          <w:p>
            <w:r>
              <w:t>접근위험이 TRUE인 도어에 해제 요청이 수신되면, SW는 그 요청을 적용하지 않고 해당 출력을 LOCK으로 유지하며 억제 이유코드를 기록해야 한다.</w:t>
            </w:r>
          </w:p>
        </w:tc>
        <w:tc>
          <w:tcPr>
            <w:tcW w:type="dxa" w:w="1408"/>
          </w:tcPr>
          <w:p>
            <w:r>
              <w:t>억제 발생 시 이유코드 필드에 정의된 코드(예: SUPPRESSED_APPROACH_RISK) 기록.</w:t>
            </w:r>
          </w:p>
        </w:tc>
        <w:tc>
          <w:tcPr>
            <w:tcW w:type="dxa" w:w="1408"/>
          </w:tcPr>
          <w:p>
            <w:r>
              <w:t>ASIL B / 안전목표 TBD. 비고: OEM-FR-003(10초 재입력 override)은 이 요구사항의 예외 조건이며 Phase 2에서 이 항목을 확장한다 — 이번 phase에는 override 로직을 포함하지 않는다.</w:t>
            </w:r>
          </w:p>
        </w:tc>
        <w:tc>
          <w:tcPr>
            <w:tcW w:type="dxa" w:w="1408"/>
          </w:tcPr>
          <w:p>
            <w:r>
              <w:t>PC/SIL, 요구사항 기반 시험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SWR-009</w:t>
            </w:r>
          </w:p>
        </w:tc>
        <w:tc>
          <w:tcPr>
            <w:tcW w:type="dxa" w:w="1408"/>
          </w:tcPr>
          <w:p>
            <w:r>
              <w:t>OEM-SR-002</w:t>
            </w:r>
          </w:p>
        </w:tc>
        <w:tc>
          <w:tcPr>
            <w:tcW w:type="dxa" w:w="1408"/>
          </w:tcPr>
          <w:p>
            <w:r>
              <w:t>SW는 후석 좌측과 우측 도어의 접근위험 판정 및 잠금/해제 출력을 서로 독립적으로 산출해야 한다(한쪽 도어의 입력이 반대쪽 출력에 영향을 주지 않는다).</w:t>
            </w:r>
          </w:p>
        </w:tc>
        <w:tc>
          <w:tcPr>
            <w:tcW w:type="dxa" w:w="1408"/>
          </w:tcPr>
          <w:p>
            <w:r>
              <w:t>좌/우 조합(좌만 TRUE / 우만 TRUE / 둘다 TRUE / 둘다 FALSE) 4가지 모두에서 반대쪽 출력 불변.</w:t>
            </w:r>
          </w:p>
        </w:tc>
        <w:tc>
          <w:tcPr>
            <w:tcW w:type="dxa" w:w="1408"/>
          </w:tcPr>
          <w:p>
            <w:r>
              <w:t>ASIL B / 안전목표 TBD. 근거: OEM 원문에 직접 문장은 없으나 OEM-IF-003이 좌/우 접근위험을 별도 boolean으로 정의하고 OEM-FR-006(ISOFIX)도 동일한 좌우 독립 패턴을 요구함 — 인터페이스 계약에서 파생.</w:t>
            </w:r>
          </w:p>
        </w:tc>
        <w:tc>
          <w:tcPr>
            <w:tcW w:type="dxa" w:w="1408"/>
          </w:tcPr>
          <w:p>
            <w:r>
              <w:t>PC/SIL, 동등분할(좌/우 조합)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SWR-013a</w:t>
            </w:r>
          </w:p>
        </w:tc>
        <w:tc>
          <w:tcPr>
            <w:tcW w:type="dxa" w:w="1408"/>
          </w:tcPr>
          <w:p>
            <w:r>
              <w:t>OEM-SR-003</w:t>
            </w:r>
          </w:p>
        </w:tc>
        <w:tc>
          <w:tcPr>
            <w:tcW w:type="dxa" w:w="1408"/>
          </w:tcPr>
          <w:p>
            <w:r>
              <w:t>안전 관련 필수 입력이 200ms를 초과하여 갱신되지 않으면, SW는 100ms 이내 시스템 상태를 DEGRADED로 전이해야 한다.</w:t>
            </w:r>
          </w:p>
        </w:tc>
        <w:tc>
          <w:tcPr>
            <w:tcW w:type="dxa" w:w="1408"/>
          </w:tcPr>
          <w:p>
            <w:r>
              <w:t>199ms/200ms/201ms 경계에서 정확히 전이 여부 결정, 전이는 100ms 이내 완료.</w:t>
            </w:r>
          </w:p>
        </w:tc>
        <w:tc>
          <w:tcPr>
            <w:tcW w:type="dxa" w:w="1408"/>
          </w:tcPr>
          <w:p>
            <w:r>
              <w:t>ASIL B / 안전목표 TBD. (원자성 분리: OEM-SR-003 → SWR-013a/013b)</w:t>
            </w:r>
          </w:p>
        </w:tc>
        <w:tc>
          <w:tcPr>
            <w:tcW w:type="dxa" w:w="1408"/>
          </w:tcPr>
          <w:p>
            <w:r>
              <w:t>PC/SIL, 경계값분석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SWR-013b</w:t>
            </w:r>
          </w:p>
        </w:tc>
        <w:tc>
          <w:tcPr>
            <w:tcW w:type="dxa" w:w="1408"/>
          </w:tcPr>
          <w:p>
            <w:r>
              <w:t>OEM-SR-003</w:t>
            </w:r>
          </w:p>
        </w:tc>
        <w:tc>
          <w:tcPr>
            <w:tcW w:type="dxa" w:w="1408"/>
          </w:tcPr>
          <w:p>
            <w:r>
              <w:t>안전 관련 입력이 정의된 형식 또는 범위를 벗어나면, SW는 그 입력을 판단 로직에 반영하기 전에 거절해야 한다.</w:t>
            </w:r>
          </w:p>
        </w:tc>
        <w:tc>
          <w:tcPr>
            <w:tcW w:type="dxa" w:w="1408"/>
          </w:tcPr>
          <w:p>
            <w:r>
              <w:t>유효/무효 범위 각각에서 거절 여부가 사양(OEM-IF-002/003/009)과 일치.</w:t>
            </w:r>
          </w:p>
        </w:tc>
        <w:tc>
          <w:tcPr>
            <w:tcW w:type="dxa" w:w="1408"/>
          </w:tcPr>
          <w:p>
            <w:r>
              <w:t>ASIL B / 안전목표 TBD. (원자성 분리: OEM-SR-003 → SWR-013a/013b)</w:t>
            </w:r>
          </w:p>
        </w:tc>
        <w:tc>
          <w:tcPr>
            <w:tcW w:type="dxa" w:w="1408"/>
          </w:tcPr>
          <w:p>
            <w:r>
              <w:t>PC/SIL, 동등분할+경계값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SWR-021a</w:t>
            </w:r>
          </w:p>
        </w:tc>
        <w:tc>
          <w:tcPr>
            <w:tcW w:type="dxa" w:w="1408"/>
          </w:tcPr>
          <w:p>
            <w:r>
              <w:t>OEM-SR-004</w:t>
            </w:r>
          </w:p>
        </w:tc>
        <w:tc>
          <w:tcPr>
            <w:tcW w:type="dxa" w:w="1408"/>
          </w:tcPr>
          <w:p>
            <w:r>
              <w:t>정규화된 sensor_fault 입력이 TRUE인 평가주기 동안, SW는 새로운 명령을 적용하지 않고 직전에 확정된 좌/우 출력을 유지해야 한다.</w:t>
            </w:r>
          </w:p>
        </w:tc>
        <w:tc>
          <w:tcPr>
            <w:tcW w:type="dxa" w:w="1408"/>
          </w:tcPr>
          <w:p>
            <w:r>
              <w:t>sensor_fault=TRUE 첫 평가주기부터 좌/우 출력 불변(직전 확정값 유지).</w:t>
            </w:r>
          </w:p>
        </w:tc>
        <w:tc>
          <w:tcPr>
            <w:tcW w:type="dxa" w:w="1408"/>
          </w:tcPr>
          <w:p>
            <w:r>
              <w:t>ASIL B / 안전목표 TBD. (원자성 분리: OEM-SR-004 → SWR-021a/021b)</w:t>
            </w:r>
          </w:p>
        </w:tc>
        <w:tc>
          <w:tcPr>
            <w:tcW w:type="dxa" w:w="1408"/>
          </w:tcPr>
          <w:p>
            <w:r>
              <w:t>PC/SIL, 요구사항 기반 시험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  <w:tr>
        <w:tc>
          <w:tcPr>
            <w:tcW w:type="dxa" w:w="1408"/>
          </w:tcPr>
          <w:p>
            <w:r>
              <w:t>SWR-021b</w:t>
            </w:r>
          </w:p>
        </w:tc>
        <w:tc>
          <w:tcPr>
            <w:tcW w:type="dxa" w:w="1408"/>
          </w:tcPr>
          <w:p>
            <w:r>
              <w:t>OEM-SR-004</w:t>
            </w:r>
          </w:p>
        </w:tc>
        <w:tc>
          <w:tcPr>
            <w:tcW w:type="dxa" w:w="1408"/>
          </w:tcPr>
          <w:p>
            <w:r>
              <w:t>sensor_fault가 TRUE로 전이하면, SW는 시스템 상태를 FAULT로 설정하고 정의된 경고코드를 제공해야 한다.</w:t>
            </w:r>
          </w:p>
        </w:tc>
        <w:tc>
          <w:tcPr>
            <w:tcW w:type="dxa" w:w="1408"/>
          </w:tcPr>
          <w:p>
            <w:r>
              <w:t>TRUE 전이 첫 평가주기에 상태=FAULT 및 경고코드 필드가 비어있지 않음.</w:t>
            </w:r>
          </w:p>
        </w:tc>
        <w:tc>
          <w:tcPr>
            <w:tcW w:type="dxa" w:w="1408"/>
          </w:tcPr>
          <w:p>
            <w:r>
              <w:t>ASIL B / 안전목표 TBD. 비고: 경고코드의 구체 스키마(열거값)는 상세설계(SWE.3)에서 정의한다 — 이번 phase는 코드 존재 요건만 규정한다. (원자성 분리: OEM-SR-004 → SWR-021a/021b)</w:t>
            </w:r>
          </w:p>
        </w:tc>
        <w:tc>
          <w:tcPr>
            <w:tcW w:type="dxa" w:w="1408"/>
          </w:tcPr>
          <w:p>
            <w:r>
              <w:t>PC/SIL, 요구사항 기반 시험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</w:tr>
    </w:tbl>
    <w:p>
      <w:pPr>
        <w:pStyle w:val="Heading1"/>
      </w:pPr>
      <w:r>
        <w:t>5. 입력 데이터 사전</w:t>
      </w:r>
    </w:p>
    <w:p>
      <w:pPr>
        <w:spacing w:after="160"/>
        <w:ind w:left="198" w:right="113"/>
      </w:pPr>
      <w:r>
        <w:t>이번 phase(SR-001~004)가 참조하는 입력 신호는 다음과 같다. 전 입력은 SWR-013a/013b의 유효성·freshness 규칙을 공통으로 적용받는다.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자료형/단위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유효범위</w:t>
            </w:r>
          </w:p>
        </w:tc>
        <w:tc>
          <w:tcPr>
            <w:tcW w:type="dxa" w:w="1643"/>
          </w:tcPr>
          <w:p>
            <w:r>
              <w:rPr>
                <w:b/>
              </w:rPr>
              <w:t>freshness 요구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오류 처리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출처</w:t>
            </w:r>
          </w:p>
        </w:tc>
      </w:tr>
      <w:tr>
        <w:tc>
          <w:tcPr>
            <w:tcW w:type="dxa" w:w="1643"/>
          </w:tcPr>
          <w:p>
            <w:r>
              <w:t>crash_status</w:t>
            </w:r>
          </w:p>
        </w:tc>
        <w:tc>
          <w:tcPr>
            <w:tcW w:type="dxa" w:w="1643"/>
          </w:tcPr>
          <w:p>
            <w:r>
              <w:t>enum</w:t>
            </w:r>
          </w:p>
        </w:tc>
        <w:tc>
          <w:tcPr>
            <w:tcW w:type="dxa" w:w="1643"/>
          </w:tcPr>
          <w:p>
            <w:r>
              <w:t>{NONE, PENDING, CONFIRMED}</w:t>
            </w:r>
          </w:p>
        </w:tc>
        <w:tc>
          <w:tcPr>
            <w:tcW w:type="dxa" w:w="1643"/>
          </w:tcPr>
          <w:p>
            <w:r>
              <w:t>SWR-013a 규칙 적용(200ms)</w:t>
            </w:r>
          </w:p>
        </w:tc>
        <w:tc>
          <w:tcPr>
            <w:tcW w:type="dxa" w:w="1643"/>
          </w:tcPr>
          <w:p>
            <w:r>
              <w:t>미정의 값 → INVALID(거절)</w:t>
            </w:r>
          </w:p>
        </w:tc>
        <w:tc>
          <w:tcPr>
            <w:tcW w:type="dxa" w:w="1643"/>
          </w:tcPr>
          <w:p>
            <w:r>
              <w:t>OEM-IF-002</w:t>
            </w:r>
          </w:p>
        </w:tc>
      </w:tr>
      <w:tr>
        <w:tc>
          <w:tcPr>
            <w:tcW w:type="dxa" w:w="1643"/>
          </w:tcPr>
          <w:p>
            <w:r>
              <w:t>rear_left_approach_risk</w:t>
            </w:r>
          </w:p>
        </w:tc>
        <w:tc>
          <w:tcPr>
            <w:tcW w:type="dxa" w:w="1643"/>
          </w:tcPr>
          <w:p>
            <w:r>
              <w:t>boolean</w:t>
            </w:r>
          </w:p>
        </w:tc>
        <w:tc>
          <w:tcPr>
            <w:tcW w:type="dxa" w:w="1643"/>
          </w:tcPr>
          <w:p>
            <w:r>
              <w:t>{true, false}</w:t>
            </w:r>
          </w:p>
        </w:tc>
        <w:tc>
          <w:tcPr>
            <w:tcW w:type="dxa" w:w="1643"/>
          </w:tcPr>
          <w:p>
            <w:r>
              <w:t>SWR-013a 규칙 적용(200ms)</w:t>
            </w:r>
          </w:p>
        </w:tc>
        <w:tc>
          <w:tcPr>
            <w:tcW w:type="dxa" w:w="1643"/>
          </w:tcPr>
          <w:p>
            <w:r>
              <w:t>누락/형식 오류 → INVALID(거절)</w:t>
            </w:r>
          </w:p>
        </w:tc>
        <w:tc>
          <w:tcPr>
            <w:tcW w:type="dxa" w:w="1643"/>
          </w:tcPr>
          <w:p>
            <w:r>
              <w:t>OEM-IF-003</w:t>
            </w:r>
          </w:p>
        </w:tc>
      </w:tr>
      <w:tr>
        <w:tc>
          <w:tcPr>
            <w:tcW w:type="dxa" w:w="1643"/>
          </w:tcPr>
          <w:p>
            <w:r>
              <w:t>rear_right_approach_risk</w:t>
            </w:r>
          </w:p>
        </w:tc>
        <w:tc>
          <w:tcPr>
            <w:tcW w:type="dxa" w:w="1643"/>
          </w:tcPr>
          <w:p>
            <w:r>
              <w:t>boolean</w:t>
            </w:r>
          </w:p>
        </w:tc>
        <w:tc>
          <w:tcPr>
            <w:tcW w:type="dxa" w:w="1643"/>
          </w:tcPr>
          <w:p>
            <w:r>
              <w:t>{true, false}</w:t>
            </w:r>
          </w:p>
        </w:tc>
        <w:tc>
          <w:tcPr>
            <w:tcW w:type="dxa" w:w="1643"/>
          </w:tcPr>
          <w:p>
            <w:r>
              <w:t>SWR-013a 규칙 적용(200ms)</w:t>
            </w:r>
          </w:p>
        </w:tc>
        <w:tc>
          <w:tcPr>
            <w:tcW w:type="dxa" w:w="1643"/>
          </w:tcPr>
          <w:p>
            <w:r>
              <w:t>누락/형식 오류 → INVALID(거절)</w:t>
            </w:r>
          </w:p>
        </w:tc>
        <w:tc>
          <w:tcPr>
            <w:tcW w:type="dxa" w:w="1643"/>
          </w:tcPr>
          <w:p>
            <w:r>
              <w:t>OEM-IF-003</w:t>
            </w:r>
          </w:p>
        </w:tc>
      </w:tr>
      <w:tr>
        <w:tc>
          <w:tcPr>
            <w:tcW w:type="dxa" w:w="1643"/>
          </w:tcPr>
          <w:p>
            <w:r>
              <w:t>sensor_fault</w:t>
            </w:r>
          </w:p>
        </w:tc>
        <w:tc>
          <w:tcPr>
            <w:tcW w:type="dxa" w:w="1643"/>
          </w:tcPr>
          <w:p>
            <w:r>
              <w:t>boolean</w:t>
            </w:r>
          </w:p>
        </w:tc>
        <w:tc>
          <w:tcPr>
            <w:tcW w:type="dxa" w:w="1643"/>
          </w:tcPr>
          <w:p>
            <w:r>
              <w:t>{true, false}</w:t>
            </w:r>
          </w:p>
        </w:tc>
        <w:tc>
          <w:tcPr>
            <w:tcW w:type="dxa" w:w="1643"/>
          </w:tcPr>
          <w:p>
            <w:r>
              <w:t>SWR-013a 규칙 적용(200ms)</w:t>
            </w:r>
          </w:p>
        </w:tc>
        <w:tc>
          <w:tcPr>
            <w:tcW w:type="dxa" w:w="1643"/>
          </w:tcPr>
          <w:p>
            <w:r>
              <w:t>누락/형식 오류 → INVALID(거절)</w:t>
            </w:r>
          </w:p>
        </w:tc>
        <w:tc>
          <w:tcPr>
            <w:tcW w:type="dxa" w:w="1643"/>
          </w:tcPr>
          <w:p>
            <w:r>
              <w:t>OEM-IF-009(일부; ignition_on은 Phase 2)</w:t>
            </w:r>
          </w:p>
        </w:tc>
      </w:tr>
    </w:tbl>
    <w:p>
      <w:pPr>
        <w:pStyle w:val="Heading1"/>
      </w:pPr>
      <w:r>
        <w:t>6. 외부 인터페이스 요구</w:t>
      </w:r>
    </w:p>
    <w:p>
      <w:pPr>
        <w:spacing w:after="160"/>
        <w:ind w:left="198" w:right="113"/>
      </w:pPr>
      <w:r>
        <w:t>이번 phase가 사용하는 외부 인터페이스는 OEM-SWR-001 6장의 정의를 그대로 인용한다. CAN/LIN 드라이버 등 물리 계층 구현은 범위 밖이다.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인터페이스 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방향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공급자(우리) 책임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제외</w:t>
            </w:r>
          </w:p>
        </w:tc>
      </w:tr>
      <w:tr>
        <w:tc>
          <w:tcPr>
            <w:tcW w:type="dxa" w:w="1972"/>
          </w:tcPr>
          <w:p>
            <w:r>
              <w:t>OEM-IF-002</w:t>
            </w:r>
          </w:p>
        </w:tc>
        <w:tc>
          <w:tcPr>
            <w:tcW w:type="dxa" w:w="1972"/>
          </w:tcPr>
          <w:p>
            <w:r>
              <w:t>Vehicle→SW</w:t>
            </w:r>
          </w:p>
        </w:tc>
        <w:tc>
          <w:tcPr>
            <w:tcW w:type="dxa" w:w="1972"/>
          </w:tcPr>
          <w:p>
            <w:r>
              <w:t>crash_status</w:t>
            </w:r>
          </w:p>
        </w:tc>
        <w:tc>
          <w:tcPr>
            <w:tcW w:type="dxa" w:w="1972"/>
          </w:tcPr>
          <w:p>
            <w:r>
              <w:t>범위/형식 검증, SWR-007/008 판단</w:t>
            </w:r>
          </w:p>
        </w:tc>
        <w:tc>
          <w:tcPr>
            <w:tcW w:type="dxa" w:w="1972"/>
          </w:tcPr>
          <w:p>
            <w:r>
              <w:t>센서 신뢰성 자체는 Vehicle 책임</w:t>
            </w:r>
          </w:p>
        </w:tc>
      </w:tr>
      <w:tr>
        <w:tc>
          <w:tcPr>
            <w:tcW w:type="dxa" w:w="1972"/>
          </w:tcPr>
          <w:p>
            <w:r>
              <w:t>OEM-IF-003</w:t>
            </w:r>
          </w:p>
        </w:tc>
        <w:tc>
          <w:tcPr>
            <w:tcW w:type="dxa" w:w="1972"/>
          </w:tcPr>
          <w:p>
            <w:r>
              <w:t>Vehicle→SW</w:t>
            </w:r>
          </w:p>
        </w:tc>
        <w:tc>
          <w:tcPr>
            <w:tcW w:type="dxa" w:w="1972"/>
          </w:tcPr>
          <w:p>
            <w:r>
              <w:t>rear_left/right_approach_risk</w:t>
            </w:r>
          </w:p>
        </w:tc>
        <w:tc>
          <w:tcPr>
            <w:tcW w:type="dxa" w:w="1972"/>
          </w:tcPr>
          <w:p>
            <w:r>
              <w:t>범위/형식 검증, SWR-005/006/009 판단</w:t>
            </w:r>
          </w:p>
        </w:tc>
        <w:tc>
          <w:tcPr>
            <w:tcW w:type="dxa" w:w="1972"/>
          </w:tcPr>
          <w:p>
            <w:r>
              <w:t>접근위험 판정 알고리즘 자체는 Vehicle 책임</w:t>
            </w:r>
          </w:p>
        </w:tc>
      </w:tr>
      <w:tr>
        <w:tc>
          <w:tcPr>
            <w:tcW w:type="dxa" w:w="1972"/>
          </w:tcPr>
          <w:p>
            <w:r>
              <w:t>OEM-IF-009</w:t>
            </w:r>
          </w:p>
        </w:tc>
        <w:tc>
          <w:tcPr>
            <w:tcW w:type="dxa" w:w="1972"/>
          </w:tcPr>
          <w:p>
            <w:r>
              <w:t>Vehicle→SW</w:t>
            </w:r>
          </w:p>
        </w:tc>
        <w:tc>
          <w:tcPr>
            <w:tcW w:type="dxa" w:w="1972"/>
          </w:tcPr>
          <w:p>
            <w:r>
              <w:t>sensor_fault (ignition_on은 Phase 2)</w:t>
            </w:r>
          </w:p>
        </w:tc>
        <w:tc>
          <w:tcPr>
            <w:tcW w:type="dxa" w:w="1972"/>
          </w:tcPr>
          <w:p>
            <w:r>
              <w:t>범위/형식 검증, SWR-021a/021b 판단</w:t>
            </w:r>
          </w:p>
        </w:tc>
        <w:tc>
          <w:tcPr>
            <w:tcW w:type="dxa" w:w="1972"/>
          </w:tcPr>
          <w:p>
            <w:r>
              <w:t>센서 고장 진단 로직 자체는 Vehicle 책임</w:t>
            </w:r>
          </w:p>
        </w:tc>
      </w:tr>
    </w:tbl>
    <w:p>
      <w:pPr>
        <w:pStyle w:val="Heading1"/>
      </w:pPr>
      <w:r>
        <w:t>7. 비기능 및 환경 제약</w:t>
      </w:r>
    </w:p>
    <w:p>
      <w:pPr>
        <w:spacing w:after="160"/>
        <w:ind w:left="198" w:right="113"/>
      </w:pPr>
      <w:r>
        <w:t>실행 환경: Python 3.14, PC/SIL(이 프로젝트 unittest+integration-tester+sw-system-tester 파이프라인). OEM 사양서는 Python 3.12를 명시했으나, 인터페이스 데이터 형식에 영향이 없다고 판단해 이 프로젝트의 CLAUDE.md 정책(Python 3.14)을 그대로 따르기로 사용자가 확정했다(2026-09-18).</w:t>
      </w:r>
    </w:p>
    <w:p>
      <w:r>
        <w:rPr>
          <w:b w:val="0"/>
        </w:rPr>
        <w:t>타이밍 제약: 충돌 감지→해제 300ms 이내(SWR-007), freshness 임계 200ms(SWR-013a), DEGRADED 전이 100ms 이내(SWR-013a) — 실행 환경의 시각 정밀도가 이 임계값을 안정적으로 측정할 수 있어야 한다.</w:t>
      </w:r>
    </w:p>
    <w:p>
      <w:pPr>
        <w:pStyle w:val="Heading1"/>
      </w:pPr>
      <w:r>
        <w:t>8. 분석 결과와 가정</w:t>
      </w:r>
    </w:p>
    <w:p>
      <w:r>
        <w:t>이번 phase 분석 중 확정한 가정과, 아직 결정되지 않아 재확인이 필요한 사항은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확정일자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464"/>
          </w:tcPr>
          <w:p>
            <w:r>
              <w:t>가정 1</w:t>
            </w:r>
          </w:p>
        </w:tc>
        <w:tc>
          <w:tcPr>
            <w:tcW w:type="dxa" w:w="2464"/>
          </w:tcPr>
          <w:p>
            <w:r>
              <w:t>crash_status=CONFIRMED가 접근위험으로 인한 잠금 유지보다 우선한다.</w:t>
            </w:r>
          </w:p>
        </w:tc>
        <w:tc>
          <w:tcPr>
            <w:tcW w:type="dxa" w:w="2464"/>
          </w:tcPr>
          <w:p>
            <w:r>
              <w:t>2026-09-18</w:t>
            </w:r>
          </w:p>
        </w:tc>
        <w:tc>
          <w:tcPr>
            <w:tcW w:type="dxa" w:w="2464"/>
          </w:tcPr>
          <w:p>
            <w:r>
              <w:t>근거: 충돌 후 차량 정지로 접근위험(주행 중 타 차량 근접)의 실효성이 낮아짐; OEM-SR-001 원문이 "다른 명령보다 우선" 명시. 사용자 확정.</w:t>
            </w:r>
          </w:p>
        </w:tc>
      </w:tr>
      <w:tr>
        <w:tc>
          <w:tcPr>
            <w:tcW w:type="dxa" w:w="2464"/>
          </w:tcPr>
          <w:p>
            <w:r>
              <w:t>가정 2</w:t>
            </w:r>
          </w:p>
        </w:tc>
        <w:tc>
          <w:tcPr>
            <w:tcW w:type="dxa" w:w="2464"/>
          </w:tcPr>
          <w:p>
            <w:r>
              <w:t>crash_status=PENDING은 NONE과 동일하게 취급한다(가장 보수적 해석).</w:t>
            </w:r>
          </w:p>
        </w:tc>
        <w:tc>
          <w:tcPr>
            <w:tcW w:type="dxa" w:w="2464"/>
          </w:tcPr>
          <w:p>
            <w:r>
              <w:t>2026-09-18</w:t>
            </w:r>
          </w:p>
        </w:tc>
        <w:tc>
          <w:tcPr>
            <w:tcW w:type="dxa" w:w="2464"/>
          </w:tcPr>
          <w:p>
            <w:r>
              <w:t>재확인 필요: OEM 원문에 PENDING 처리 의도가 명시되어 있지 않음. 실제 OEM에 재질의 필요(SWR-008 근거). 사용자 확정.</w:t>
            </w:r>
          </w:p>
        </w:tc>
      </w:tr>
      <w:tr>
        <w:tc>
          <w:tcPr>
            <w:tcW w:type="dxa" w:w="2464"/>
          </w:tcPr>
          <w:p>
            <w:r>
              <w:t>가정 3</w:t>
            </w:r>
          </w:p>
        </w:tc>
        <w:tc>
          <w:tcPr>
            <w:tcW w:type="dxa" w:w="2464"/>
          </w:tcPr>
          <w:p>
            <w:r>
              <w:t>"PC/SIL SW 검증"은 별도 상용 툴체인이 아니라 이 프로젝트의 unittest/integration-tester/sw-system-tester 파이프라인으로 갈음한다.</w:t>
            </w:r>
          </w:p>
        </w:tc>
        <w:tc>
          <w:tcPr>
            <w:tcW w:type="dxa" w:w="2464"/>
          </w:tcPr>
          <w:p>
            <w:r>
              <w:t>2026-09-18</w:t>
            </w:r>
          </w:p>
        </w:tc>
        <w:tc>
          <w:tcPr>
            <w:tcW w:type="dxa" w:w="2464"/>
          </w:tcPr>
          <w:p>
            <w:r>
              <w:t>사용자 확정.</w:t>
            </w:r>
          </w:p>
        </w:tc>
      </w:tr>
      <w:tr>
        <w:tc>
          <w:tcPr>
            <w:tcW w:type="dxa" w:w="2464"/>
          </w:tcPr>
          <w:p>
            <w:r>
              <w:t>가정 4</w:t>
            </w:r>
          </w:p>
        </w:tc>
        <w:tc>
          <w:tcPr>
            <w:tcW w:type="dxa" w:w="2464"/>
          </w:tcPr>
          <w:p>
            <w:r>
              <w:t>원자성 원칙에 따라 SWR-013→SWR-013a/013b, SWR-021→SWR-021a/021b로 분리하고, 상위 ID는 OEM 추적표 대조용 그룹 ID로 유지한다.</w:t>
            </w:r>
          </w:p>
        </w:tc>
        <w:tc>
          <w:tcPr>
            <w:tcW w:type="dxa" w:w="2464"/>
          </w:tcPr>
          <w:p>
            <w:r>
              <w:t>2026-09-18</w:t>
            </w:r>
          </w:p>
        </w:tc>
        <w:tc>
          <w:tcPr>
            <w:tcW w:type="dxa" w:w="2464"/>
          </w:tcPr>
          <w:p>
            <w:r>
              <w:t>사용자 확정.</w:t>
            </w:r>
          </w:p>
        </w:tc>
      </w:tr>
      <w:tr>
        <w:tc>
          <w:tcPr>
            <w:tcW w:type="dxa" w:w="2464"/>
          </w:tcPr>
          <w:p>
            <w:r>
              <w:t>미결정 1</w:t>
            </w:r>
          </w:p>
        </w:tc>
        <w:tc>
          <w:tcPr>
            <w:tcW w:type="dxa" w:w="2464"/>
          </w:tcPr>
          <w:p>
            <w:r>
              <w:t>SWR-019 결번: OEM-SWR-001 9장 추적성표(13개 OEM 요구사항 전체)에 SWR-001~021 중 019가 어디에도 나타나지 않는다.</w:t>
            </w:r>
          </w:p>
        </w:tc>
        <w:tc>
          <w:tcPr>
            <w:tcW w:type="dxa" w:w="2464"/>
          </w:tcPr>
          <w:p>
            <w:r>
              <w:t>-</w:t>
            </w:r>
          </w:p>
        </w:tc>
        <w:tc>
          <w:tcPr>
            <w:tcW w:type="dxa" w:w="2464"/>
          </w:tcPr>
          <w:p>
            <w:r>
              <w:t>재확인 필요: 결번인지 문서 누락인지 OEM에 확인 필요. 공급자가 임의로 채우지 않음.</w:t>
            </w:r>
          </w:p>
        </w:tc>
      </w:tr>
      <w:tr>
        <w:tc>
          <w:tcPr>
            <w:tcW w:type="dxa" w:w="2464"/>
          </w:tcPr>
          <w:p>
            <w:r>
              <w:t>미결정 2</w:t>
            </w:r>
          </w:p>
        </w:tc>
        <w:tc>
          <w:tcPr>
            <w:tcW w:type="dxa" w:w="2464"/>
          </w:tcPr>
          <w:p>
            <w:r>
              <w:t>SWR-021b의 경고코드 구체 스키마(열거값)가 정의되어 있지 않다.</w:t>
            </w:r>
          </w:p>
        </w:tc>
        <w:tc>
          <w:tcPr>
            <w:tcW w:type="dxa" w:w="2464"/>
          </w:tcPr>
          <w:p>
            <w:r>
              <w:t>-</w:t>
            </w:r>
          </w:p>
        </w:tc>
        <w:tc>
          <w:tcPr>
            <w:tcW w:type="dxa" w:w="2464"/>
          </w:tcPr>
          <w:p>
            <w:r>
              <w:t>상세설계(SWE.3)에서 정의.</w:t>
            </w:r>
          </w:p>
        </w:tc>
      </w:tr>
      <w:tr>
        <w:tc>
          <w:tcPr>
            <w:tcW w:type="dxa" w:w="2464"/>
          </w:tcPr>
          <w:p>
            <w:r>
              <w:t>미결정 3</w:t>
            </w:r>
          </w:p>
        </w:tc>
        <w:tc>
          <w:tcPr>
            <w:tcW w:type="dxa" w:w="2464"/>
          </w:tcPr>
          <w:p>
            <w:r>
              <w:t>SWR-005/006/007/008/009/013a/013b/021a/021b의 안전목표(Safety Goal) 식별자가 아직 제공되지 않았다.</w:t>
            </w:r>
          </w:p>
        </w:tc>
        <w:tc>
          <w:tcPr>
            <w:tcW w:type="dxa" w:w="2464"/>
          </w:tcPr>
          <w:p>
            <w:r>
              <w:t>-</w:t>
            </w:r>
          </w:p>
        </w:tc>
        <w:tc>
          <w:tcPr>
            <w:tcW w:type="dxa" w:w="2464"/>
          </w:tcPr>
          <w:p>
            <w:r>
              <w:t>ASIL 등급만 입력받음 — HARA 재구성 금지 원칙에 따라 공급자가 임의로 생성하지 않음.</w:t>
            </w:r>
          </w:p>
        </w:tc>
      </w:tr>
    </w:tbl>
    <w:p>
      <w:pPr>
        <w:pStyle w:val="Heading1"/>
      </w:pPr>
      <w:r>
        <w:t>9. 하향 할당 및 검증 계획</w:t>
      </w:r>
    </w:p>
    <w:p>
      <w:pPr>
        <w:spacing w:after="160"/>
        <w:ind w:left="198" w:right="113"/>
      </w:pPr>
      <w:r>
        <w:t>이번 리비전 시점에는 아키텍처가 아직 없으므로 설계 할당 대상은 TBD이며, 다음 단계(architecture-designer)에서 확정한다.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SWR 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설계 할당 대상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검증 수준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검증 방법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계획된 증거</w:t>
            </w:r>
          </w:p>
        </w:tc>
      </w:tr>
      <w:tr>
        <w:tc>
          <w:tcPr>
            <w:tcW w:type="dxa" w:w="1972"/>
          </w:tcPr>
          <w:p>
            <w:r>
              <w:t>SWR-005/006/007/008/009/013a/013b/021a/021b</w:t>
            </w:r>
          </w:p>
        </w:tc>
        <w:tc>
          <w:tcPr>
            <w:tcW w:type="dxa" w:w="1972"/>
          </w:tcPr>
          <w:p>
            <w:r>
              <w:t>TBD(Phase 1 아키텍처 설계 단계에서 확정)</w:t>
            </w:r>
          </w:p>
        </w:tc>
        <w:tc>
          <w:tcPr>
            <w:tcW w:type="dxa" w:w="1972"/>
          </w:tcPr>
          <w:p>
            <w:r>
              <w:t>PC/SIL</w:t>
            </w:r>
          </w:p>
        </w:tc>
        <w:tc>
          <w:tcPr>
            <w:tcW w:type="dxa" w:w="1972"/>
          </w:tcPr>
          <w:p>
            <w:r>
              <w:t>unittest(단위) + integration-tester(통합) + sw-system-tester(시스템)</w:t>
            </w:r>
          </w:p>
        </w:tc>
        <w:tc>
          <w:tcPr>
            <w:tcW w:type="dxa" w:w="1972"/>
          </w:tcPr>
          <w:p>
            <w:r>
              <w:t>TPL-SWE5-002/003, TPL-SWE6-001/002 (Phase 1 이후 단계에서 생성)</w:t>
            </w:r>
          </w:p>
        </w:tc>
      </w:tr>
    </w:tbl>
    <w:p>
      <w:pPr>
        <w:pStyle w:val="Heading1"/>
      </w:pPr>
      <w:r>
        <w:t>10. 범위 밖 주장</w:t>
      </w:r>
    </w:p>
    <w:p>
      <w:pPr>
        <w:spacing w:after="160"/>
        <w:ind w:left="198" w:right="113"/>
      </w:pPr>
      <w:r>
        <w:t>본 문서와 관련 증거만으로 HARA, ASIL 도출 근거, ISO 26262 Part 3 준수, 실차/HIL 검증, 공식 인증, 실제 OEM 승인을 주장하지 않는다. 이 프로젝트 전체가 A-SPICE/ISO 26262 학습을 위한 교육용 가상 시나리오 산출물이다(OEM-SWR-001 1페이지 고지사항과 동일한 취지).</w:t>
      </w:r>
    </w:p>
    <w:p>
      <w:pPr>
        <w:pStyle w:val="Heading1"/>
      </w:pPr>
      <w:r>
        <w:t>11. 추적성</w:t>
      </w:r>
    </w:p>
    <w:p>
      <w:pPr>
        <w:spacing w:after="160"/>
        <w:ind w:left="198" w:right="113"/>
      </w:pPr>
      <w:r>
        <w:t>traceability/TRC-001_양방향 요구사항 추적 매트릭스.xlsx 에 OEM-SR-00X ↔ SWR-0NN(서브절 포함) 매핑을 유지한다. 이번 phase의 매핑: OEM-SR-001→SWR-007,008 / OEM-SR-002→SWR-005,006,009 / OEM-SR-003→SWR-013a,013b / OEM-SR-004→SWR-021a,021b. SWR-019는 매핑 근거 미확인 상태로 별도 기록되어 있다.</w:t>
      </w:r>
    </w:p>
    <w:p>
      <w:r>
        <w:rPr>
          <w:b w:val="0"/>
        </w:rPr>
        <w:t>하위 산출물(아키텍처/상세설계/코드/시험) 열은 모두 TBD이며, 이후 단계마다 반드시 채워 넣는다.</w:t>
      </w:r>
    </w:p>
    <w:p>
      <w:pPr>
        <w:pStyle w:val="Heading1"/>
      </w:pPr>
      <w:r>
        <w:t>12. 참고자료</w:t>
      </w:r>
    </w:p>
    <w:p>
      <w:pPr>
        <w:spacing w:after="160"/>
        <w:ind w:left="198" w:right="113"/>
      </w:pPr>
      <w:r>
        <w:t>이번 phase 작성에 적용한 표준·고객 입력 자료는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참고 목적</w:t>
            </w:r>
          </w:p>
        </w:tc>
      </w:tr>
      <w:tr>
        <w:tc>
          <w:tcPr>
            <w:tcW w:type="dxa" w:w="4929"/>
          </w:tcPr>
          <w:p>
            <w:r>
              <w:t>OEM-SWR-001</w:t>
            </w:r>
          </w:p>
        </w:tc>
        <w:tc>
          <w:tcPr>
            <w:tcW w:type="dxa" w:w="4929"/>
          </w:tcPr>
          <w:p>
            <w:r>
              <w:t>교육용 가상 OEM 요구사양서(본 문서의 테스트 베이시스)</w:t>
            </w:r>
          </w:p>
        </w:tc>
      </w:tr>
      <w:tr>
        <w:tc>
          <w:tcPr>
            <w:tcW w:type="dxa" w:w="4929"/>
          </w:tcPr>
          <w:p>
            <w:r>
              <w:t>ISO 26262-6:2018</w:t>
            </w:r>
          </w:p>
        </w:tc>
        <w:tc>
          <w:tcPr>
            <w:tcW w:type="dxa" w:w="4929"/>
          </w:tcPr>
          <w:p>
            <w:r>
              <w:t>프로젝트가 선정한 SW 개발 활동 경계 근거(전체 준수 주장 아님)</w:t>
            </w:r>
          </w:p>
        </w:tc>
      </w:tr>
      <w:tr>
        <w:tc>
          <w:tcPr>
            <w:tcW w:type="dxa" w:w="4929"/>
          </w:tcPr>
          <w:p>
            <w:r>
              <w:t>A-SPICE 4.1 PAM</w:t>
            </w:r>
          </w:p>
        </w:tc>
        <w:tc>
          <w:tcPr>
            <w:tcW w:type="dxa" w:w="4929"/>
          </w:tcPr>
          <w:p>
            <w:r>
              <w:t>SWE.1 기본관행 대조(조직 공식 문서 확인 필요)</w:t>
            </w:r>
          </w:p>
        </w:tc>
      </w:tr>
      <w:tr>
        <w:tc>
          <w:tcPr>
            <w:tcW w:type="dxa" w:w="4929"/>
          </w:tcPr>
          <w:p>
            <w:r>
              <w:t>CLAUDE.md</w:t>
            </w:r>
          </w:p>
        </w:tc>
        <w:tc>
          <w:tcPr>
            <w:tcW w:type="dxa" w:w="4929"/>
          </w:tcPr>
          <w:p>
            <w:r>
              <w:t>본 프로젝트 개발 정책(Python 3.14, A-SPICE 파이프라인, 서브에이전트 역할 분담)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