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SWR-002_Use Case 명세서</w:t>
      </w:r>
    </w:p>
    <w:p>
      <w:r>
        <w:rPr>
          <w:rFonts w:ascii="맑은 고딕" w:hAnsi="맑은 고딕" w:eastAsia="맑은 고딕"/>
          <w:b w:val="0"/>
          <w:i w:val="0"/>
          <w:color w:val="404040"/>
          <w:sz w:val="22"/>
        </w:rPr>
        <w:t>프로젝트 공학 산출물 작성용 빈 양식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템플릿 ID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TPL-SWE1-002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적용 프로세스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SWE.1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프로젝트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전자식 차일드락 제어 SW (OEM-A 가상 프로젝트, Phase 1)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작성 문서 ID와 명칭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SWR-002_Use Case 명세서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버전 및 베이스라인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0.1 (Phase 1 초안)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작성자와 검토자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작성: requirements-analyst(Claude Code) / 검토: 사용자 검토 대기</w:t>
            </w:r>
          </w:p>
        </w:tc>
      </w:tr>
    </w:tbl>
    <w:p/>
    <w:p>
      <w:pPr>
        <w:spacing w:before="200"/>
      </w:pPr>
      <w:r>
        <w:rPr>
          <w:rFonts w:ascii="맑은 고딕" w:hAnsi="맑은 고딕" w:eastAsia="맑은 고딕"/>
          <w:b w:val="0"/>
          <w:i w:val="0"/>
          <w:color w:val="595959"/>
          <w:sz w:val="17"/>
        </w:rPr>
        <w:t>본 자료는 SW 품질교육을 위한 교육용 샘플이며, 저작권은 Synetics에 있습니다. 교육 과정 안에서 열람, 복제 및 실습 사용을 허용합니다. 과정 밖 배포, 공개 또는 상업적 이용은 Synetics의 사전 서면 승인을 받아야 합니다. © 2026 Synetics. All rights reserved.</w:t>
      </w:r>
    </w:p>
    <w:p>
      <w:r>
        <w:br w:type="page"/>
      </w:r>
    </w:p>
    <w:p>
      <w:pPr>
        <w:pStyle w:val="Heading1"/>
      </w:pPr>
      <w:r>
        <w:t>문서 통제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문서의 작성, 검토, 승인 책임과 적용 베이스라인을 식별한다. 실제 승인 상태와 검토 증거 위치를 구분해 기록한다.</w:t>
      </w:r>
    </w:p>
    <w:p>
      <w:pPr>
        <w:pStyle w:val="Heading2"/>
      </w:pPr>
      <w:r>
        <w:t>변경 이력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Revision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변경일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작성 역할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변경 내용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검토 상태</w:t>
            </w:r>
          </w:p>
        </w:tc>
      </w:tr>
      <w:tr>
        <w:tc>
          <w:tcPr>
            <w:tcW w:type="dxa" w:w="1972"/>
          </w:tcPr>
          <w:p>
            <w:r>
              <w:t>0.1</w:t>
            </w:r>
          </w:p>
        </w:tc>
        <w:tc>
          <w:tcPr>
            <w:tcW w:type="dxa" w:w="1972"/>
          </w:tcPr>
          <w:p>
            <w:r>
              <w:t>2026-09-18</w:t>
            </w:r>
          </w:p>
        </w:tc>
        <w:tc>
          <w:tcPr>
            <w:tcW w:type="dxa" w:w="1972"/>
          </w:tcPr>
          <w:p>
            <w:r>
              <w:t>requirements-analyst(AI)</w:t>
            </w:r>
          </w:p>
        </w:tc>
        <w:tc>
          <w:tcPr>
            <w:tcW w:type="dxa" w:w="1972"/>
          </w:tcPr>
          <w:p>
            <w:r>
              <w:t>Phase 1 안전 핵심 로직 Use Case 4건 초안 작성</w:t>
            </w:r>
          </w:p>
        </w:tc>
        <w:tc>
          <w:tcPr>
            <w:tcW w:type="dxa" w:w="1972"/>
          </w:tcPr>
          <w:p>
            <w:r>
              <w:t>사용자 검토 대기</w:t>
            </w:r>
          </w:p>
        </w:tc>
      </w:tr>
    </w:tbl>
    <w:p>
      <w:pPr>
        <w:pStyle w:val="Heading2"/>
      </w:pPr>
      <w:r>
        <w:t>작성 검토 승인 상태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구분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역할 또는 성명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상태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일자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증거 위치</w:t>
            </w:r>
          </w:p>
        </w:tc>
      </w:tr>
      <w:tr>
        <w:tc>
          <w:tcPr>
            <w:tcW w:type="dxa" w:w="1972"/>
          </w:tcPr>
          <w:p>
            <w:r>
              <w:t>작성</w:t>
            </w:r>
          </w:p>
        </w:tc>
        <w:tc>
          <w:tcPr>
            <w:tcW w:type="dxa" w:w="1972"/>
          </w:tcPr>
          <w:p>
            <w:r>
              <w:t>requirements-analyst 서브에이전트</w:t>
            </w:r>
          </w:p>
        </w:tc>
        <w:tc>
          <w:tcPr>
            <w:tcW w:type="dxa" w:w="1972"/>
          </w:tcPr>
          <w:p>
            <w:r>
              <w:t>완료</w:t>
            </w:r>
          </w:p>
        </w:tc>
        <w:tc>
          <w:tcPr>
            <w:tcW w:type="dxa" w:w="1972"/>
          </w:tcPr>
          <w:p>
            <w:r>
              <w:t>2026-09-18</w:t>
            </w:r>
          </w:p>
        </w:tc>
        <w:tc>
          <w:tcPr>
            <w:tcW w:type="dxa" w:w="1972"/>
          </w:tcPr>
          <w:p>
            <w:r>
              <w:t>본 문서 v0.1</w:t>
            </w:r>
          </w:p>
        </w:tc>
      </w:tr>
      <w:tr>
        <w:tc>
          <w:tcPr>
            <w:tcW w:type="dxa" w:w="1972"/>
          </w:tcPr>
          <w:p>
            <w:r>
              <w:t>기술 검토</w:t>
            </w:r>
          </w:p>
        </w:tc>
        <w:tc>
          <w:tcPr>
            <w:tcW w:type="dxa" w:w="1972"/>
          </w:tcPr>
          <w:p>
            <w:r>
              <w:t>사용자(프로젝트 책임자)</w:t>
            </w:r>
          </w:p>
        </w:tc>
        <w:tc>
          <w:tcPr>
            <w:tcW w:type="dxa" w:w="1972"/>
          </w:tcPr>
          <w:p>
            <w:r>
              <w:t>대기</w:t>
            </w:r>
          </w:p>
        </w:tc>
        <w:tc>
          <w:tcPr>
            <w:tcW w:type="dxa" w:w="1972"/>
          </w:tcPr>
          <w:p>
            <w:r>
              <w:t>-</w:t>
            </w:r>
          </w:p>
        </w:tc>
        <w:tc>
          <w:tcPr>
            <w:tcW w:type="dxa" w:w="1972"/>
          </w:tcPr>
          <w:p>
            <w:r>
              <w:t>-</w:t>
            </w:r>
          </w:p>
        </w:tc>
      </w:tr>
    </w:tbl>
    <w:p>
      <w:pPr>
        <w:pStyle w:val="Heading2"/>
      </w:pPr>
      <w:r>
        <w:t>목차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Word의 자동 목차 기능으로 아래 제목을 갱신한다. 배포 전 페이지 번호와 제목 수준을 확인한다.</w:t>
      </w:r>
    </w:p>
    <w:p>
      <w:pPr>
        <w:pStyle w:val="Heading1"/>
      </w:pPr>
      <w:r>
        <w:t>1. 목적 및 적용범위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이 문서가 필요한 이유와 적용 대상, 사용 시점을 요약한다.</w:t>
      </w:r>
    </w:p>
    <w:p>
      <w:pPr>
        <w:pStyle w:val="Heading2"/>
      </w:pPr>
      <w:r>
        <w:t>1.1 목적</w:t>
      </w:r>
    </w:p>
    <w:p>
      <w:pPr>
        <w:spacing w:after="160"/>
        <w:ind w:left="198" w:right="113"/>
      </w:pPr>
      <w:r>
        <w:t>SWR-001 4.2절의 안전 관련 SW 요구사항이 어떤 외부 신호(Vehicle)에 반응해 어떤 흐름으로 처리되는지 시나리오 형태로 구체화하여, 상세설계·시험 케이스 설계의 근거로 삼는다.</w:t>
      </w:r>
    </w:p>
    <w:p>
      <w:pPr>
        <w:pStyle w:val="Heading2"/>
      </w:pPr>
      <w:r>
        <w:t>1.2 적용범위</w:t>
      </w:r>
    </w:p>
    <w:p>
      <w:pPr>
        <w:spacing w:after="160"/>
        <w:ind w:left="198" w:right="113"/>
      </w:pPr>
      <w:r>
        <w:t>Phase 1(OEM-SR-001~004)에서 파생된 4개 Use Case: 긴급 해제, 접근위험 잠금 유지, 입력 유효성 검증, 센서 고장 시 출력 유지. OEM-FR-001(운전자 명령) 등 사람 액터가 개입하는 Use Case는 Phase 2에서 이 문서에 추가된다.</w:t>
      </w:r>
    </w:p>
    <w:p>
      <w:pPr>
        <w:pStyle w:val="Heading2"/>
      </w:pPr>
      <w:r>
        <w:t>1.3 적용 경계</w:t>
      </w:r>
    </w:p>
    <w:p>
      <w:pPr>
        <w:spacing w:after="160"/>
        <w:ind w:left="198" w:right="113"/>
      </w:pPr>
      <w:r>
        <w:t>SWR-001과 동일: HIL/실차/HW/Part 3 HARA/공식 인증은 범위 밖이다.</w:t>
      </w:r>
    </w:p>
    <w:p>
      <w:pPr>
        <w:pStyle w:val="Heading1"/>
      </w:pPr>
      <w:r>
        <w:t>2. 액터와 시스템 경계</w:t>
      </w:r>
    </w:p>
    <w:p>
      <w:pPr>
        <w:spacing w:after="160"/>
        <w:ind w:left="198" w:right="113"/>
      </w:pPr>
      <w:r>
        <w:t>주 액터: Vehicle(차량 시스템 — crash_status, 접근위험, sensor_fault 신호 제공). 사람 액터 없음: Phase 1은 차량 신호에 대한 자동 안전 반응만 다루며, 운전자 액터는 Phase 2(OEM-FR-001)에서 추가된다. 시스템 경계: 전자식 차일드락 제어 SW(Python 3.14, PC/SIL).</w:t>
      </w:r>
    </w:p>
    <w:p>
      <w:pPr>
        <w:pStyle w:val="Heading1"/>
      </w:pPr>
      <w:r>
        <w:t>3. Use Case 목록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Use Case ID, 명칭, 목적, 주 액터, 관련 요구사항과 우선순위를 정리한다.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c>
          <w:tcPr>
            <w:tcW w:type="dxa" w:w="1643"/>
          </w:tcPr>
          <w:p>
            <w:r>
              <w:rPr>
                <w:b/>
              </w:rPr>
              <w:t>UC ID</w:t>
            </w:r>
          </w:p>
        </w:tc>
        <w:tc>
          <w:tcPr>
            <w:tcW w:type="dxa" w:w="1643"/>
          </w:tcPr>
          <w:p>
            <w:r>
              <w:rPr>
                <w:b/>
              </w:rPr>
              <w:t>명칭</w:t>
            </w:r>
          </w:p>
        </w:tc>
        <w:tc>
          <w:tcPr>
            <w:tcW w:type="dxa" w:w="1643"/>
          </w:tcPr>
          <w:p>
            <w:r>
              <w:rPr>
                <w:b/>
              </w:rPr>
              <w:t>목적</w:t>
            </w:r>
          </w:p>
        </w:tc>
        <w:tc>
          <w:tcPr>
            <w:tcW w:type="dxa" w:w="1643"/>
          </w:tcPr>
          <w:p>
            <w:r>
              <w:rPr>
                <w:b/>
              </w:rPr>
              <w:t>주 액터</w:t>
            </w:r>
          </w:p>
        </w:tc>
        <w:tc>
          <w:tcPr>
            <w:tcW w:type="dxa" w:w="1643"/>
          </w:tcPr>
          <w:p>
            <w:r>
              <w:rPr>
                <w:b/>
              </w:rPr>
              <w:t>관련 요구사항</w:t>
            </w:r>
          </w:p>
        </w:tc>
        <w:tc>
          <w:tcPr>
            <w:tcW w:type="dxa" w:w="1643"/>
          </w:tcPr>
          <w:p>
            <w:r>
              <w:rPr>
                <w:b/>
              </w:rPr>
              <w:t>우선순위</w:t>
            </w:r>
          </w:p>
        </w:tc>
      </w:tr>
      <w:tr>
        <w:tc>
          <w:tcPr>
            <w:tcW w:type="dxa" w:w="1643"/>
          </w:tcPr>
          <w:p>
            <w:r>
              <w:t>UC-SR001</w:t>
            </w:r>
          </w:p>
        </w:tc>
        <w:tc>
          <w:tcPr>
            <w:tcW w:type="dxa" w:w="1643"/>
          </w:tcPr>
          <w:p>
            <w:r>
              <w:t>충돌 시 긴급 해제</w:t>
            </w:r>
          </w:p>
        </w:tc>
        <w:tc>
          <w:tcPr>
            <w:tcW w:type="dxa" w:w="1643"/>
          </w:tcPr>
          <w:p>
            <w:r>
              <w:t>충돌 발생 시 탑승자 탈출을 위해 후석 도어를 해제</w:t>
            </w:r>
          </w:p>
        </w:tc>
        <w:tc>
          <w:tcPr>
            <w:tcW w:type="dxa" w:w="1643"/>
          </w:tcPr>
          <w:p>
            <w:r>
              <w:t>Vehicle</w:t>
            </w:r>
          </w:p>
        </w:tc>
        <w:tc>
          <w:tcPr>
            <w:tcW w:type="dxa" w:w="1643"/>
          </w:tcPr>
          <w:p>
            <w:r>
              <w:t>SWR-007, SWR-008</w:t>
            </w:r>
          </w:p>
        </w:tc>
        <w:tc>
          <w:tcPr>
            <w:tcW w:type="dxa" w:w="1643"/>
          </w:tcPr>
          <w:p>
            <w:r>
              <w:t>필수</w:t>
            </w:r>
          </w:p>
        </w:tc>
      </w:tr>
      <w:tr>
        <w:tc>
          <w:tcPr>
            <w:tcW w:type="dxa" w:w="1643"/>
          </w:tcPr>
          <w:p>
            <w:r>
              <w:t>UC-SR002</w:t>
            </w:r>
          </w:p>
        </w:tc>
        <w:tc>
          <w:tcPr>
            <w:tcW w:type="dxa" w:w="1643"/>
          </w:tcPr>
          <w:p>
            <w:r>
              <w:t>접근위험 도어 잠금 유지</w:t>
            </w:r>
          </w:p>
        </w:tc>
        <w:tc>
          <w:tcPr>
            <w:tcW w:type="dxa" w:w="1643"/>
          </w:tcPr>
          <w:p>
            <w:r>
              <w:t>후측방 접근위험 시 무단 하차로 인한 사고를 방지</w:t>
            </w:r>
          </w:p>
        </w:tc>
        <w:tc>
          <w:tcPr>
            <w:tcW w:type="dxa" w:w="1643"/>
          </w:tcPr>
          <w:p>
            <w:r>
              <w:t>Vehicle</w:t>
            </w:r>
          </w:p>
        </w:tc>
        <w:tc>
          <w:tcPr>
            <w:tcW w:type="dxa" w:w="1643"/>
          </w:tcPr>
          <w:p>
            <w:r>
              <w:t>SWR-005, SWR-006, SWR-009</w:t>
            </w:r>
          </w:p>
        </w:tc>
        <w:tc>
          <w:tcPr>
            <w:tcW w:type="dxa" w:w="1643"/>
          </w:tcPr>
          <w:p>
            <w:r>
              <w:t>필수</w:t>
            </w:r>
          </w:p>
        </w:tc>
      </w:tr>
      <w:tr>
        <w:tc>
          <w:tcPr>
            <w:tcW w:type="dxa" w:w="1643"/>
          </w:tcPr>
          <w:p>
            <w:r>
              <w:t>UC-SR003</w:t>
            </w:r>
          </w:p>
        </w:tc>
        <w:tc>
          <w:tcPr>
            <w:tcW w:type="dxa" w:w="1643"/>
          </w:tcPr>
          <w:p>
            <w:r>
              <w:t>입력 유효성·신선도 검증</w:t>
            </w:r>
          </w:p>
        </w:tc>
        <w:tc>
          <w:tcPr>
            <w:tcW w:type="dxa" w:w="1643"/>
          </w:tcPr>
          <w:p>
            <w:r>
              <w:t>안전 판단의 입력 신뢰성 확보</w:t>
            </w:r>
          </w:p>
        </w:tc>
        <w:tc>
          <w:tcPr>
            <w:tcW w:type="dxa" w:w="1643"/>
          </w:tcPr>
          <w:p>
            <w:r>
              <w:t>Vehicle</w:t>
            </w:r>
          </w:p>
        </w:tc>
        <w:tc>
          <w:tcPr>
            <w:tcW w:type="dxa" w:w="1643"/>
          </w:tcPr>
          <w:p>
            <w:r>
              <w:t>SWR-013a, SWR-013b</w:t>
            </w:r>
          </w:p>
        </w:tc>
        <w:tc>
          <w:tcPr>
            <w:tcW w:type="dxa" w:w="1643"/>
          </w:tcPr>
          <w:p>
            <w:r>
              <w:t>필수</w:t>
            </w:r>
          </w:p>
        </w:tc>
      </w:tr>
      <w:tr>
        <w:tc>
          <w:tcPr>
            <w:tcW w:type="dxa" w:w="1643"/>
          </w:tcPr>
          <w:p>
            <w:r>
              <w:t>UC-SR004</w:t>
            </w:r>
          </w:p>
        </w:tc>
        <w:tc>
          <w:tcPr>
            <w:tcW w:type="dxa" w:w="1643"/>
          </w:tcPr>
          <w:p>
            <w:r>
              <w:t>센서 고장 시 출력 유지</w:t>
            </w:r>
          </w:p>
        </w:tc>
        <w:tc>
          <w:tcPr>
            <w:tcW w:type="dxa" w:w="1643"/>
          </w:tcPr>
          <w:p>
            <w:r>
              <w:t>신뢰할 수 없는 신호로 인한 오작동 방지</w:t>
            </w:r>
          </w:p>
        </w:tc>
        <w:tc>
          <w:tcPr>
            <w:tcW w:type="dxa" w:w="1643"/>
          </w:tcPr>
          <w:p>
            <w:r>
              <w:t>Vehicle</w:t>
            </w:r>
          </w:p>
        </w:tc>
        <w:tc>
          <w:tcPr>
            <w:tcW w:type="dxa" w:w="1643"/>
          </w:tcPr>
          <w:p>
            <w:r>
              <w:t>SWR-021a, SWR-021b</w:t>
            </w:r>
          </w:p>
        </w:tc>
        <w:tc>
          <w:tcPr>
            <w:tcW w:type="dxa" w:w="1643"/>
          </w:tcPr>
          <w:p>
            <w:r>
              <w:t>필수</w:t>
            </w:r>
          </w:p>
        </w:tc>
      </w:tr>
    </w:tbl>
    <w:p>
      <w:pPr>
        <w:pStyle w:val="Heading1"/>
      </w:pPr>
      <w:r>
        <w:t>4. Use Case 상세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Use Case마다 아래 하위 절을 복제해 식별정보부터 예외 흐름까지 완결되게 작성한다.</w:t>
      </w:r>
    </w:p>
    <w:p>
      <w:pPr>
        <w:pStyle w:val="Heading2"/>
      </w:pPr>
      <w:r>
        <w:rPr>
          <w:b/>
        </w:rPr>
        <w:t>UC-SR001 — 충돌 시 긴급 해제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929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929"/>
          </w:tcPr>
          <w:p>
            <w:r>
              <w:t>기본 정보</w:t>
            </w:r>
          </w:p>
        </w:tc>
        <w:tc>
          <w:tcPr>
            <w:tcW w:type="dxa" w:w="4929"/>
          </w:tcPr>
          <w:p>
            <w:r>
              <w:t>ID: UC-SR001 / 명칭: 충돌 시 긴급 해제 / 주 액터: Vehicle / 관련 요구사항: SWR-007, SWR-008</w:t>
            </w:r>
          </w:p>
        </w:tc>
      </w:tr>
      <w:tr>
        <w:tc>
          <w:tcPr>
            <w:tcW w:type="dxa" w:w="4929"/>
          </w:tcPr>
          <w:p>
            <w:r>
              <w:t>사전조건/트리거</w:t>
            </w:r>
          </w:p>
        </w:tc>
        <w:tc>
          <w:tcPr>
            <w:tcW w:type="dxa" w:w="4929"/>
          </w:tcPr>
          <w:p>
            <w:r>
              <w:t>SW가 NORMAL 또는 FAULT가 아닌 상태로 동작 중. 트리거: crash_status가 CONFIRMED로 전이.</w:t>
            </w:r>
          </w:p>
        </w:tc>
      </w:tr>
      <w:tr>
        <w:tc>
          <w:tcPr>
            <w:tcW w:type="dxa" w:w="4929"/>
          </w:tcPr>
          <w:p>
            <w:r>
              <w:t>기본 흐름</w:t>
            </w:r>
          </w:p>
        </w:tc>
        <w:tc>
          <w:tcPr>
            <w:tcW w:type="dxa" w:w="4929"/>
          </w:tcPr>
          <w:p>
            <w:r>
              <w:t>1) Vehicle이 crash_status=CONFIRMED를 전송한다. 2) SW는 접근위험 등 다른 판단보다 이 이벤트를 우선 처리한다(SWR-007). 3) SW는 좌/우 도어 출력을 RELEASE로 설정한다. 4) 300ms 이내 출력이 반영되었는지 SW 내부적으로 확인한다.</w:t>
            </w:r>
          </w:p>
        </w:tc>
      </w:tr>
      <w:tr>
        <w:tc>
          <w:tcPr>
            <w:tcW w:type="dxa" w:w="4929"/>
          </w:tcPr>
          <w:p>
            <w:r>
              <w:t>대안 흐름</w:t>
            </w:r>
          </w:p>
        </w:tc>
        <w:tc>
          <w:tcPr>
            <w:tcW w:type="dxa" w:w="4929"/>
          </w:tcPr>
          <w:p>
            <w:r>
              <w:t>crash_status가 PENDING 또는 NONE이면 이 Use Case는 트리거되지 않고(SWR-008), 다른 Use Case(UC-SR002 등)의 판단이 그대로 유지된다.</w:t>
            </w:r>
          </w:p>
        </w:tc>
      </w:tr>
      <w:tr>
        <w:tc>
          <w:tcPr>
            <w:tcW w:type="dxa" w:w="4929"/>
          </w:tcPr>
          <w:p>
            <w:r>
              <w:t>예외 흐름</w:t>
            </w:r>
          </w:p>
        </w:tc>
        <w:tc>
          <w:tcPr>
            <w:tcW w:type="dxa" w:w="4929"/>
          </w:tcPr>
          <w:p>
            <w:r>
              <w:t>crash_status 입력이 형식/범위를 벗어나면 SWR-013b에 따라 거절되고 UC-SR003으로 위임된다.</w:t>
            </w:r>
          </w:p>
        </w:tc>
      </w:tr>
      <w:tr>
        <w:tc>
          <w:tcPr>
            <w:tcW w:type="dxa" w:w="4929"/>
          </w:tcPr>
          <w:p>
            <w:r>
              <w:t>사후조건</w:t>
            </w:r>
          </w:p>
        </w:tc>
        <w:tc>
          <w:tcPr>
            <w:tcW w:type="dxa" w:w="4929"/>
          </w:tcPr>
          <w:p>
            <w:r>
              <w:t>사후조건: 좌/우 출력이 RELEASE로 확정되고, 이후 입력 주기에도 이 상태가 유지된다.</w:t>
            </w:r>
          </w:p>
        </w:tc>
      </w:tr>
    </w:tbl>
    <w:p>
      <w:pPr>
        <w:pStyle w:val="Heading2"/>
      </w:pPr>
      <w:r>
        <w:rPr>
          <w:b/>
        </w:rPr>
        <w:t>UC-SR002 — 접근위험 도어 잠금 유지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929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929"/>
          </w:tcPr>
          <w:p>
            <w:r>
              <w:t>기본 정보</w:t>
            </w:r>
          </w:p>
        </w:tc>
        <w:tc>
          <w:tcPr>
            <w:tcW w:type="dxa" w:w="4929"/>
          </w:tcPr>
          <w:p>
            <w:r>
              <w:t>ID: UC-SR002 / 명칭: 접근위험 도어 잠금 유지 / 주 액터: Vehicle / 관련 요구사항: SWR-005, SWR-006, SWR-009</w:t>
            </w:r>
          </w:p>
        </w:tc>
      </w:tr>
      <w:tr>
        <w:tc>
          <w:tcPr>
            <w:tcW w:type="dxa" w:w="4929"/>
          </w:tcPr>
          <w:p>
            <w:r>
              <w:t>사전조건/트리거</w:t>
            </w:r>
          </w:p>
        </w:tc>
        <w:tc>
          <w:tcPr>
            <w:tcW w:type="dxa" w:w="4929"/>
          </w:tcPr>
          <w:p>
            <w:r>
              <w:t>crash_status가 CONFIRMED가 아님. 트리거: rear_left/right_approach_risk 중 하나 이상이 TRUE로 전이.</w:t>
            </w:r>
          </w:p>
        </w:tc>
      </w:tr>
      <w:tr>
        <w:tc>
          <w:tcPr>
            <w:tcW w:type="dxa" w:w="4929"/>
          </w:tcPr>
          <w:p>
            <w:r>
              <w:t>기본 흐름</w:t>
            </w:r>
          </w:p>
        </w:tc>
        <w:tc>
          <w:tcPr>
            <w:tcW w:type="dxa" w:w="4929"/>
          </w:tcPr>
          <w:p>
            <w:r>
              <w:t>1) Vehicle이 해당 도어의 접근위험=TRUE를 전송한다. 2) SW는 그 도어 출력을 LOCK으로 설정한다(SWR-005). 3) 해당 도어에 해제 요청이 들어오면 SW는 이를 적용하지 않고 억제 이유코드를 기록한다(SWR-006). 4) 반대쪽 도어의 출력은 영향받지 않는다(SWR-009).</w:t>
            </w:r>
          </w:p>
        </w:tc>
      </w:tr>
      <w:tr>
        <w:tc>
          <w:tcPr>
            <w:tcW w:type="dxa" w:w="4929"/>
          </w:tcPr>
          <w:p>
            <w:r>
              <w:t>대안 흐름</w:t>
            </w:r>
          </w:p>
        </w:tc>
        <w:tc>
          <w:tcPr>
            <w:tcW w:type="dxa" w:w="4929"/>
          </w:tcPr>
          <w:p>
            <w:r>
              <w:t>이후 crash_status가 CONFIRMED로 전이하면 UC-SR001이 우선하여 해당 도어도 RELEASE된다(2026-09-18 우선순위 확정).</w:t>
            </w:r>
          </w:p>
        </w:tc>
      </w:tr>
      <w:tr>
        <w:tc>
          <w:tcPr>
            <w:tcW w:type="dxa" w:w="4929"/>
          </w:tcPr>
          <w:p>
            <w:r>
              <w:t>예외 흐름</w:t>
            </w:r>
          </w:p>
        </w:tc>
        <w:tc>
          <w:tcPr>
            <w:tcW w:type="dxa" w:w="4929"/>
          </w:tcPr>
          <w:p>
            <w:r>
              <w:t>접근위험 입력이 형식/범위를 벗어나면 UC-SR003(SWR-013b)에 따라 거절된다.</w:t>
            </w:r>
          </w:p>
        </w:tc>
      </w:tr>
      <w:tr>
        <w:tc>
          <w:tcPr>
            <w:tcW w:type="dxa" w:w="4929"/>
          </w:tcPr>
          <w:p>
            <w:r>
              <w:t>사후조건</w:t>
            </w:r>
          </w:p>
        </w:tc>
        <w:tc>
          <w:tcPr>
            <w:tcW w:type="dxa" w:w="4929"/>
          </w:tcPr>
          <w:p>
            <w:r>
              <w:t>사후조건: 접근위험이 TRUE인 동안 해당 도어는 LOCK 유지, 억제 이력이 기록된다.</w:t>
            </w:r>
          </w:p>
        </w:tc>
      </w:tr>
    </w:tbl>
    <w:p>
      <w:pPr>
        <w:pStyle w:val="Heading2"/>
      </w:pPr>
      <w:r>
        <w:rPr>
          <w:b/>
        </w:rPr>
        <w:t>UC-SR003 — 입력 유효성·신선도 검증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929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929"/>
          </w:tcPr>
          <w:p>
            <w:r>
              <w:t>기본 정보</w:t>
            </w:r>
          </w:p>
        </w:tc>
        <w:tc>
          <w:tcPr>
            <w:tcW w:type="dxa" w:w="4929"/>
          </w:tcPr>
          <w:p>
            <w:r>
              <w:t>ID: UC-SR003 / 명칭: 입력 유효성·신선도 검증 / 주 액터: Vehicle / 관련 요구사항: SWR-013a, SWR-013b</w:t>
            </w:r>
          </w:p>
        </w:tc>
      </w:tr>
      <w:tr>
        <w:tc>
          <w:tcPr>
            <w:tcW w:type="dxa" w:w="4929"/>
          </w:tcPr>
          <w:p>
            <w:r>
              <w:t>사전조건/트리거</w:t>
            </w:r>
          </w:p>
        </w:tc>
        <w:tc>
          <w:tcPr>
            <w:tcW w:type="dxa" w:w="4929"/>
          </w:tcPr>
          <w:p>
            <w:r>
              <w:t>없음(모든 안전 관련 입력에 공통 적용). 트리거: 매 평가주기의 입력 수신, 또는 입력 미수신.</w:t>
            </w:r>
          </w:p>
        </w:tc>
      </w:tr>
      <w:tr>
        <w:tc>
          <w:tcPr>
            <w:tcW w:type="dxa" w:w="4929"/>
          </w:tcPr>
          <w:p>
            <w:r>
              <w:t>기본 흐름</w:t>
            </w:r>
          </w:p>
        </w:tc>
        <w:tc>
          <w:tcPr>
            <w:tcW w:type="dxa" w:w="4929"/>
          </w:tcPr>
          <w:p>
            <w:r>
              <w:t>1) SW는 각 안전 관련 입력의 수신 시각과 형식/범위를 확인한다. 2) 형식/범위를 벗어나면 그 입력을 판단 로직 반영 전에 거절한다(SWR-013b). 3) 입력이 200ms 초과 갱신되지 않으면 100ms 이내 DEGRADED로 전이한다(SWR-013a).</w:t>
            </w:r>
          </w:p>
        </w:tc>
      </w:tr>
      <w:tr>
        <w:tc>
          <w:tcPr>
            <w:tcW w:type="dxa" w:w="4929"/>
          </w:tcPr>
          <w:p>
            <w:r>
              <w:t>대안 흐름</w:t>
            </w:r>
          </w:p>
        </w:tc>
        <w:tc>
          <w:tcPr>
            <w:tcW w:type="dxa" w:w="4929"/>
          </w:tcPr>
          <w:p>
            <w:r>
              <w:t>입력이 유효범위 내이고 freshness 조건을 만족하면 정상적으로 UC-SR001/002/004로 값이 전달된다.</w:t>
            </w:r>
          </w:p>
        </w:tc>
      </w:tr>
      <w:tr>
        <w:tc>
          <w:tcPr>
            <w:tcW w:type="dxa" w:w="4929"/>
          </w:tcPr>
          <w:p>
            <w:r>
              <w:t>예외 흐름</w:t>
            </w:r>
          </w:p>
        </w:tc>
        <w:tc>
          <w:tcPr>
            <w:tcW w:type="dxa" w:w="4929"/>
          </w:tcPr>
          <w:p>
            <w:r>
              <w:t>없음(이 Use Case 자체가 다른 Use Case의 예외 처리 경로 역할을 한다).</w:t>
            </w:r>
          </w:p>
        </w:tc>
      </w:tr>
      <w:tr>
        <w:tc>
          <w:tcPr>
            <w:tcW w:type="dxa" w:w="4929"/>
          </w:tcPr>
          <w:p>
            <w:r>
              <w:t>사후조건</w:t>
            </w:r>
          </w:p>
        </w:tc>
        <w:tc>
          <w:tcPr>
            <w:tcW w:type="dxa" w:w="4929"/>
          </w:tcPr>
          <w:p>
            <w:r>
              <w:t>사후조건: 무효/stale 입력은 판단에 반영되지 않고, 필요 시 시스템 상태가 DEGRADED로 기록된다.</w:t>
            </w:r>
          </w:p>
        </w:tc>
      </w:tr>
    </w:tbl>
    <w:p>
      <w:pPr>
        <w:pStyle w:val="Heading2"/>
      </w:pPr>
      <w:r>
        <w:rPr>
          <w:b/>
        </w:rPr>
        <w:t>UC-SR004 — 센서 고장 시 출력 유지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929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929"/>
          </w:tcPr>
          <w:p>
            <w:r>
              <w:t>기본 정보</w:t>
            </w:r>
          </w:p>
        </w:tc>
        <w:tc>
          <w:tcPr>
            <w:tcW w:type="dxa" w:w="4929"/>
          </w:tcPr>
          <w:p>
            <w:r>
              <w:t>ID: UC-SR004 / 명칭: 센서 고장 시 출력 유지 / 주 액터: Vehicle / 관련 요구사항: SWR-021a, SWR-021b</w:t>
            </w:r>
          </w:p>
        </w:tc>
      </w:tr>
      <w:tr>
        <w:tc>
          <w:tcPr>
            <w:tcW w:type="dxa" w:w="4929"/>
          </w:tcPr>
          <w:p>
            <w:r>
              <w:t>사전조건/트리거</w:t>
            </w:r>
          </w:p>
        </w:tc>
        <w:tc>
          <w:tcPr>
            <w:tcW w:type="dxa" w:w="4929"/>
          </w:tcPr>
          <w:p>
            <w:r>
              <w:t>없음. 트리거: sensor_fault가 TRUE로 전이.</w:t>
            </w:r>
          </w:p>
        </w:tc>
      </w:tr>
      <w:tr>
        <w:tc>
          <w:tcPr>
            <w:tcW w:type="dxa" w:w="4929"/>
          </w:tcPr>
          <w:p>
            <w:r>
              <w:t>기본 흐름</w:t>
            </w:r>
          </w:p>
        </w:tc>
        <w:tc>
          <w:tcPr>
            <w:tcW w:type="dxa" w:w="4929"/>
          </w:tcPr>
          <w:p>
            <w:r>
              <w:t>1) Vehicle이 sensor_fault=TRUE를 전송한다. 2) SW는 새 명령을 적용하지 않고 직전 확정 좌/우 출력을 유지한다(SWR-021a). 3) SW는 시스템 상태를 FAULT로 설정하고 경고코드를 제공한다(SWR-021b).</w:t>
            </w:r>
          </w:p>
        </w:tc>
      </w:tr>
      <w:tr>
        <w:tc>
          <w:tcPr>
            <w:tcW w:type="dxa" w:w="4929"/>
          </w:tcPr>
          <w:p>
            <w:r>
              <w:t>대안 흐름</w:t>
            </w:r>
          </w:p>
        </w:tc>
        <w:tc>
          <w:tcPr>
            <w:tcW w:type="dxa" w:w="4929"/>
          </w:tcPr>
          <w:p>
            <w:r>
              <w:t>없음.</w:t>
            </w:r>
          </w:p>
        </w:tc>
      </w:tr>
      <w:tr>
        <w:tc>
          <w:tcPr>
            <w:tcW w:type="dxa" w:w="4929"/>
          </w:tcPr>
          <w:p>
            <w:r>
              <w:t>예외 흐름</w:t>
            </w:r>
          </w:p>
        </w:tc>
        <w:tc>
          <w:tcPr>
            <w:tcW w:type="dxa" w:w="4929"/>
          </w:tcPr>
          <w:p>
            <w:r>
              <w:t>sensor_fault 입력 자체가 형식 오류이면 UC-SR003(SWR-013b)에 따라 거절되고, 이 경우 sensor_fault는 이전 유효값으로 간주한다.</w:t>
            </w:r>
          </w:p>
        </w:tc>
      </w:tr>
      <w:tr>
        <w:tc>
          <w:tcPr>
            <w:tcW w:type="dxa" w:w="4929"/>
          </w:tcPr>
          <w:p>
            <w:r>
              <w:t>사후조건</w:t>
            </w:r>
          </w:p>
        </w:tc>
        <w:tc>
          <w:tcPr>
            <w:tcW w:type="dxa" w:w="4929"/>
          </w:tcPr>
          <w:p>
            <w:r>
              <w:t>사후조건: FAULT 상태가 유지되고, sensor_fault가 다시 FALSE가 되기 전까지 출력이 고정된다.</w:t>
            </w:r>
          </w:p>
        </w:tc>
      </w:tr>
    </w:tbl>
    <w:p>
      <w:pPr>
        <w:pStyle w:val="Heading1"/>
      </w:pPr>
      <w:r>
        <w:t>5. 비대상 시나리오</w:t>
      </w:r>
    </w:p>
    <w:p>
      <w:pPr>
        <w:spacing w:after="160"/>
        <w:ind w:left="198" w:right="113"/>
      </w:pPr>
      <w:r>
        <w:t>운전자에 의한 잠금/해제 명령(물리버튼/AVN/음성/모바일앱), 자동 잠금(속도 기반), 화재/과온/성인탑승 강제해제, ISOFIX 강제잠금, ignition-off 해제, 상태조회/표시, 결정론 재생, 이력 저장은 이번 phase의 비대상이며 Phase 2·3에서 다룬다. HIL/실차 기반 시나리오도 비대상이다.</w:t>
      </w:r>
    </w:p>
    <w:p>
      <w:pPr>
        <w:pStyle w:val="Heading1"/>
      </w:pPr>
      <w:r>
        <w:t>6. 추적성</w:t>
      </w:r>
    </w:p>
    <w:p>
      <w:pPr>
        <w:spacing w:after="160"/>
        <w:ind w:left="198" w:right="113"/>
      </w:pPr>
      <w:r>
        <w:t>UC-SR001~004는 각각 SWR-001의 §4.2 안전 요구사항(SWR-007/008, SWR-005/006/009, SWR-013a/013b, SWR-021a/021b)에 연결되며, traceability/TRC-001에도 동일 SWR ID로 반영되어 있다. 설계/코드/시험 산출물과의 연결은 이후 단계에서 채운다.</w:t>
      </w:r>
    </w:p>
    <w:p>
      <w:pPr>
        <w:pStyle w:val="Heading1"/>
      </w:pPr>
      <w:r>
        <w:t>7. 참고자료</w:t>
      </w:r>
    </w:p>
    <w:p>
      <w:pPr>
        <w:spacing w:after="160"/>
        <w:ind w:left="198" w:right="113"/>
      </w:pPr>
      <w:r>
        <w:t>이 Use Case 작성에 사용한 자료는 다음과 같다.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rPr>
                <w:b/>
              </w:rPr>
              <w:t>식별자</w:t>
            </w:r>
          </w:p>
        </w:tc>
        <w:tc>
          <w:tcPr>
            <w:tcW w:type="dxa" w:w="4929"/>
          </w:tcPr>
          <w:p>
            <w:r>
              <w:rPr>
                <w:b/>
              </w:rPr>
              <w:t>참고 목적</w:t>
            </w:r>
          </w:p>
        </w:tc>
      </w:tr>
      <w:tr>
        <w:tc>
          <w:tcPr>
            <w:tcW w:type="dxa" w:w="4929"/>
          </w:tcPr>
          <w:p>
            <w:r>
              <w:t>OEM-SWR-001</w:t>
            </w:r>
          </w:p>
        </w:tc>
        <w:tc>
          <w:tcPr>
            <w:tcW w:type="dxa" w:w="4929"/>
          </w:tcPr>
          <w:p>
            <w:r>
              <w:t>OEM 요구사양서(입력 신호 정의 근거)</w:t>
            </w:r>
          </w:p>
        </w:tc>
      </w:tr>
      <w:tr>
        <w:tc>
          <w:tcPr>
            <w:tcW w:type="dxa" w:w="4929"/>
          </w:tcPr>
          <w:p>
            <w:r>
              <w:t>deliverables/SWR-001_SW 요구사항 명세서.docx</w:t>
            </w:r>
          </w:p>
        </w:tc>
        <w:tc>
          <w:tcPr>
            <w:tcW w:type="dxa" w:w="4929"/>
          </w:tcPr>
          <w:p>
            <w:r>
              <w:t>본 Use Case가 구체화하는 SW 요구사항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color w:val="666666"/>
        <w:sz w:val="16"/>
      </w:rPr>
      <w:t>교육용 샘플 | © 2026 Synetics | 과정 밖 이용은 사전 서면 승인 필요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 w:before="0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lpwstr>본 자료는 SW 품질교육을 위한 교육용 샘플이며, 저작권은 Synetics에 있습니다. 교육 과정 안에서 열람, 복제 및 실습 사용을 허용합니다. 과정 밖 배포, 공개 또는 상업적 이용은 Synetics의 사전 서면 승인을 받아야 합니다. © 2026 Synetics. All rights reserved.</vt:lpwstr>
  </property>
</Properties>
</file>