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left"/>
      </w:pPr>
      <w:r>
        <w:rPr>
          <w:b/>
          <w:bCs/>
          <w:color w:val="0B1F4D"/>
          <w:sz w:val="48"/>
          <w:szCs w:val="48"/>
        </w:rPr>
        <w:t xml:space="preserve">Software Requirements Specification</w:t>
      </w:r>
    </w:p>
    <w:p>
      <w:pPr>
        <w:spacing w:after="360"/>
      </w:pPr>
      <w:r>
        <w:rPr>
          <w:color w:val="1D4ED8"/>
          <w:sz w:val="32"/>
          <w:szCs w:val="32"/>
        </w:rPr>
        <w:t xml:space="preserve">SHS Graduate Programme &amp; Scholarship Discovery Platform</w:t>
      </w:r>
    </w:p>
    <w:p>
      <w:pPr>
        <w:pBdr>
          <w:bottom w:val="single" w:color="15803D" w:sz="12" w:space="4"/>
        </w:pBdr>
      </w:pPr>
    </w:p>
    <w:p>
      <w:pPr>
        <w:spacing w:after="80" w:before="240"/>
      </w:pPr>
      <w:r>
        <w:rPr>
          <w:b/>
          <w:bCs/>
          <w:sz w:val="26"/>
          <w:szCs w:val="26"/>
        </w:rPr>
        <w:t xml:space="preserve">Version 1.2</w:t>
      </w:r>
    </w:p>
    <w:p>
      <w:pPr>
        <w:spacing w:after="360"/>
      </w:pPr>
      <w:r>
        <w:rPr>
          <w:sz w:val="24"/>
          <w:szCs w:val="24"/>
        </w:rPr>
        <w:t xml:space="preserve">7 October 2026</w:t>
      </w:r>
    </w:p>
    <w:p>
      <w:pPr>
        <w:spacing w:after="120"/>
      </w:pPr>
      <w:r>
        <w:t xml:space="preserve">Ghana-focused public platform for discovering university programmes based on WASSCE results, finding scholarships, and booking one-on-one mentoring.</w:t>
      </w:r>
    </w:p>
    <w:p>
      <w:r>
        <w:br w:type="page"/>
      </w:r>
    </w:p>
    <w:p>
      <w:pPr>
        <w:pStyle w:val="Heading1"/>
      </w:pPr>
      <w: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Item</w:t>
            </w:r>
          </w:p>
        </w:tc>
        <w:tc>
          <w:tcPr>
            <w:tcW w:type="dxa" w:w="6426"/>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Details</w:t>
            </w:r>
          </w:p>
        </w:tc>
      </w:tr>
      <w:tr>
        <w:tc>
          <w:tcPr>
            <w:tcW w:type="dxa" w:w="2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Document</w:t>
            </w:r>
          </w:p>
        </w:tc>
        <w:tc>
          <w:tcPr>
            <w:tcW w:type="dxa" w:w="64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Software Requirements Specification (SRS)</w:t>
            </w:r>
          </w:p>
        </w:tc>
      </w:tr>
      <w:tr>
        <w:tc>
          <w:tcPr>
            <w:tcW w:type="dxa" w:w="2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Product</w:t>
            </w:r>
          </w:p>
        </w:tc>
        <w:tc>
          <w:tcPr>
            <w:tcW w:type="dxa" w:w="64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SHS Graduate Programme &amp; Scholarship Discovery Platform</w:t>
            </w:r>
          </w:p>
        </w:tc>
      </w:tr>
      <w:tr>
        <w:tc>
          <w:tcPr>
            <w:tcW w:type="dxa" w:w="2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Version</w:t>
            </w:r>
          </w:p>
        </w:tc>
        <w:tc>
          <w:tcPr>
            <w:tcW w:type="dxa" w:w="64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1.2</w:t>
            </w:r>
          </w:p>
        </w:tc>
      </w:tr>
      <w:tr>
        <w:tc>
          <w:tcPr>
            <w:tcW w:type="dxa" w:w="2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Date</w:t>
            </w:r>
          </w:p>
        </w:tc>
        <w:tc>
          <w:tcPr>
            <w:tcW w:type="dxa" w:w="64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7 October 2026</w:t>
            </w:r>
          </w:p>
        </w:tc>
      </w:tr>
      <w:tr>
        <w:tc>
          <w:tcPr>
            <w:tcW w:type="dxa" w:w="2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Primary Operator</w:t>
            </w:r>
          </w:p>
        </w:tc>
        <w:tc>
          <w:tcPr>
            <w:tcW w:type="dxa" w:w="64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Platform Administrator</w:t>
            </w:r>
          </w:p>
        </w:tc>
      </w:tr>
      <w:tr>
        <w:tc>
          <w:tcPr>
            <w:tcW w:type="dxa" w:w="2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Initial User Model</w:t>
            </w:r>
          </w:p>
        </w:tc>
        <w:tc>
          <w:tcPr>
            <w:tcW w:type="dxa" w:w="64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Public student access (no login); administrator authentication</w:t>
            </w:r>
          </w:p>
        </w:tc>
      </w:tr>
      <w:tr>
        <w:tc>
          <w:tcPr>
            <w:tcW w:type="dxa" w:w="2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Geographic Focus</w:t>
            </w:r>
          </w:p>
        </w:tc>
        <w:tc>
          <w:tcPr>
            <w:tcW w:type="dxa" w:w="64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Ghana</w:t>
            </w:r>
          </w:p>
        </w:tc>
      </w:tr>
      <w:tr>
        <w:tc>
          <w:tcPr>
            <w:tcW w:type="dxa" w:w="2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Status</w:t>
            </w:r>
          </w:p>
        </w:tc>
        <w:tc>
          <w:tcPr>
            <w:tcW w:type="dxa" w:w="64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Revised requirements baseline</w:t>
            </w:r>
          </w:p>
        </w:tc>
      </w:tr>
    </w:tbl>
    <w:p>
      <w:pPr>
        <w:spacing w:after="120"/>
      </w:pPr>
    </w:p>
    <w:p>
      <w:pPr>
        <w:pStyle w:val="Heading2"/>
      </w:pPr>
      <w: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5926"/>
      </w:tblGrid>
      <w:tr>
        <w:trPr>
          <w:tblHeader/>
        </w:trPr>
        <w:tc>
          <w:tcPr>
            <w:tcW w:type="dxa" w:w="1100"/>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Version</w:t>
            </w:r>
          </w:p>
        </w:tc>
        <w:tc>
          <w:tcPr>
            <w:tcW w:type="dxa" w:w="2000"/>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Date</w:t>
            </w:r>
          </w:p>
        </w:tc>
        <w:tc>
          <w:tcPr>
            <w:tcW w:type="dxa" w:w="5926"/>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Summary of Changes</w:t>
            </w:r>
          </w:p>
        </w:tc>
      </w:tr>
      <w:tr>
        <w:tc>
          <w:tcPr>
            <w:tcW w:type="dxa" w:w="11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1.0</w:t>
            </w:r>
          </w:p>
        </w:tc>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17 September 2026</w:t>
            </w:r>
          </w:p>
        </w:tc>
        <w:tc>
          <w:tcPr>
            <w:tcW w:type="dxa" w:w="5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Initial requirements baseline.</w:t>
            </w:r>
          </w:p>
        </w:tc>
      </w:tr>
      <w:tr>
        <w:tc>
          <w:tcPr>
            <w:tcW w:type="dxa" w:w="11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1.1</w:t>
            </w:r>
          </w:p>
        </w:tc>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w:t>
            </w:r>
          </w:p>
        </w:tc>
        <w:tc>
          <w:tcPr>
            <w:tcW w:type="dxa" w:w="5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Added Mentoring and One-on-One Guidance requirements.</w:t>
            </w:r>
          </w:p>
        </w:tc>
      </w:tr>
      <w:tr>
        <w:tc>
          <w:tcPr>
            <w:tcW w:type="dxa" w:w="11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1.2</w:t>
            </w:r>
          </w:p>
        </w:tc>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7 October 2026</w:t>
            </w:r>
          </w:p>
        </w:tc>
        <w:tc>
          <w:tcPr>
            <w:tcW w:type="dxa" w:w="5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Integrated mentoring into scope, MVP, data model, API, privacy and acceptance criteria. Added navigation, visual design and eligibility status presentation requirements (Sections 11.4–11.6). Consolidated acceptance criteria into Section 19. Corrected duplicate section numbering. Added Open Issues (Section 23).</w:t>
            </w:r>
          </w:p>
        </w:tc>
      </w:tr>
    </w:tbl>
    <w:p>
      <w:pPr>
        <w:spacing w:after="120"/>
      </w:pPr>
    </w:p>
    <w:p>
      <w:pPr>
        <w:pStyle w:val="Heading1"/>
      </w:pPr>
      <w:r>
        <w:t xml:space="preserve">Contents</w:t>
      </w:r>
    </w:p>
    <w:p>
      <w:pPr>
        <w:pStyle w:val="ListParagraph"/>
        <w:numPr>
          <w:ilvl w:val="0"/>
          <w:numId w:val="2"/>
        </w:numPr>
        <w:spacing w:after="60"/>
      </w:pPr>
      <w:r>
        <w:t xml:space="preserve">Introduction</w:t>
      </w:r>
    </w:p>
    <w:p>
      <w:pPr>
        <w:pStyle w:val="ListParagraph"/>
        <w:numPr>
          <w:ilvl w:val="0"/>
          <w:numId w:val="2"/>
        </w:numPr>
        <w:spacing w:after="60"/>
      </w:pPr>
      <w:r>
        <w:t xml:space="preserve">Product Vision and Objectives</w:t>
      </w:r>
    </w:p>
    <w:p>
      <w:pPr>
        <w:pStyle w:val="ListParagraph"/>
        <w:numPr>
          <w:ilvl w:val="0"/>
          <w:numId w:val="2"/>
        </w:numPr>
        <w:spacing w:after="60"/>
      </w:pPr>
      <w:r>
        <w:t xml:space="preserve">Scope</w:t>
      </w:r>
    </w:p>
    <w:p>
      <w:pPr>
        <w:pStyle w:val="ListParagraph"/>
        <w:numPr>
          <w:ilvl w:val="0"/>
          <w:numId w:val="2"/>
        </w:numPr>
        <w:spacing w:after="60"/>
      </w:pPr>
      <w:r>
        <w:t xml:space="preserve">User Roles</w:t>
      </w:r>
    </w:p>
    <w:p>
      <w:pPr>
        <w:pStyle w:val="ListParagraph"/>
        <w:numPr>
          <w:ilvl w:val="0"/>
          <w:numId w:val="2"/>
        </w:numPr>
        <w:spacing w:after="60"/>
      </w:pPr>
      <w:r>
        <w:t xml:space="preserve">Functional Requirements</w:t>
      </w:r>
    </w:p>
    <w:p>
      <w:pPr>
        <w:pStyle w:val="ListParagraph"/>
        <w:numPr>
          <w:ilvl w:val="0"/>
          <w:numId w:val="2"/>
        </w:numPr>
        <w:spacing w:after="60"/>
      </w:pPr>
      <w:r>
        <w:t xml:space="preserve">Eligibility Engine Requirements</w:t>
      </w:r>
    </w:p>
    <w:p>
      <w:pPr>
        <w:pStyle w:val="ListParagraph"/>
        <w:numPr>
          <w:ilvl w:val="0"/>
          <w:numId w:val="2"/>
        </w:numPr>
        <w:spacing w:after="60"/>
      </w:pPr>
      <w:r>
        <w:t xml:space="preserve">Academic Year and Versioning</w:t>
      </w:r>
    </w:p>
    <w:p>
      <w:pPr>
        <w:pStyle w:val="ListParagraph"/>
        <w:numPr>
          <w:ilvl w:val="0"/>
          <w:numId w:val="2"/>
        </w:numPr>
        <w:spacing w:after="60"/>
      </w:pPr>
      <w:r>
        <w:t xml:space="preserve">Scholarship Requirements</w:t>
      </w:r>
    </w:p>
    <w:p>
      <w:pPr>
        <w:pStyle w:val="ListParagraph"/>
        <w:numPr>
          <w:ilvl w:val="0"/>
          <w:numId w:val="2"/>
        </w:numPr>
        <w:spacing w:after="60"/>
      </w:pPr>
      <w:r>
        <w:t xml:space="preserve">Administration and Content Management</w:t>
      </w:r>
    </w:p>
    <w:p>
      <w:pPr>
        <w:pStyle w:val="ListParagraph"/>
        <w:numPr>
          <w:ilvl w:val="0"/>
          <w:numId w:val="2"/>
        </w:numPr>
        <w:spacing w:after="60"/>
      </w:pPr>
      <w:r>
        <w:t xml:space="preserve">Data Verification and Trust</w:t>
      </w:r>
    </w:p>
    <w:p>
      <w:pPr>
        <w:pStyle w:val="ListParagraph"/>
        <w:numPr>
          <w:ilvl w:val="0"/>
          <w:numId w:val="2"/>
        </w:numPr>
        <w:spacing w:after="60"/>
      </w:pPr>
      <w:r>
        <w:t xml:space="preserve">Public User Experience and Visual Design</w:t>
      </w:r>
    </w:p>
    <w:p>
      <w:pPr>
        <w:pStyle w:val="ListParagraph"/>
        <w:numPr>
          <w:ilvl w:val="0"/>
          <w:numId w:val="2"/>
        </w:numPr>
        <w:spacing w:after="60"/>
      </w:pPr>
      <w:r>
        <w:t xml:space="preserve">Non-Functional Requirements</w:t>
      </w:r>
    </w:p>
    <w:p>
      <w:pPr>
        <w:pStyle w:val="ListParagraph"/>
        <w:numPr>
          <w:ilvl w:val="0"/>
          <w:numId w:val="2"/>
        </w:numPr>
        <w:spacing w:after="60"/>
      </w:pPr>
      <w:r>
        <w:t xml:space="preserve">Data Model Overview</w:t>
      </w:r>
    </w:p>
    <w:p>
      <w:pPr>
        <w:pStyle w:val="ListParagraph"/>
        <w:numPr>
          <w:ilvl w:val="0"/>
          <w:numId w:val="2"/>
        </w:numPr>
        <w:spacing w:after="60"/>
      </w:pPr>
      <w:r>
        <w:t xml:space="preserve">API and System Architecture</w:t>
      </w:r>
    </w:p>
    <w:p>
      <w:pPr>
        <w:pStyle w:val="ListParagraph"/>
        <w:numPr>
          <w:ilvl w:val="0"/>
          <w:numId w:val="2"/>
        </w:numPr>
        <w:spacing w:after="60"/>
      </w:pPr>
      <w:r>
        <w:t xml:space="preserve">Security and Privacy</w:t>
      </w:r>
    </w:p>
    <w:p>
      <w:pPr>
        <w:pStyle w:val="ListParagraph"/>
        <w:numPr>
          <w:ilvl w:val="0"/>
          <w:numId w:val="2"/>
        </w:numPr>
        <w:spacing w:after="60"/>
      </w:pPr>
      <w:r>
        <w:t xml:space="preserve">Analytics and Monitoring</w:t>
      </w:r>
    </w:p>
    <w:p>
      <w:pPr>
        <w:pStyle w:val="ListParagraph"/>
        <w:numPr>
          <w:ilvl w:val="0"/>
          <w:numId w:val="2"/>
        </w:numPr>
        <w:spacing w:after="60"/>
      </w:pPr>
      <w:r>
        <w:t xml:space="preserve">MVP Scope</w:t>
      </w:r>
    </w:p>
    <w:p>
      <w:pPr>
        <w:pStyle w:val="ListParagraph"/>
        <w:numPr>
          <w:ilvl w:val="0"/>
          <w:numId w:val="2"/>
        </w:numPr>
        <w:spacing w:after="60"/>
      </w:pPr>
      <w:r>
        <w:t xml:space="preserve">Future Enhancements</w:t>
      </w:r>
    </w:p>
    <w:p>
      <w:pPr>
        <w:pStyle w:val="ListParagraph"/>
        <w:numPr>
          <w:ilvl w:val="0"/>
          <w:numId w:val="2"/>
        </w:numPr>
        <w:spacing w:after="60"/>
      </w:pPr>
      <w:r>
        <w:t xml:space="preserve">Acceptance Criteria</w:t>
      </w:r>
    </w:p>
    <w:p>
      <w:pPr>
        <w:pStyle w:val="ListParagraph"/>
        <w:numPr>
          <w:ilvl w:val="0"/>
          <w:numId w:val="2"/>
        </w:numPr>
        <w:spacing w:after="60"/>
      </w:pPr>
      <w:r>
        <w:t xml:space="preserve">Risks and Assumptions</w:t>
      </w:r>
    </w:p>
    <w:p>
      <w:pPr>
        <w:pStyle w:val="ListParagraph"/>
        <w:numPr>
          <w:ilvl w:val="0"/>
          <w:numId w:val="2"/>
        </w:numPr>
        <w:spacing w:after="60"/>
      </w:pPr>
      <w:r>
        <w:t xml:space="preserve">Mentoring and One-on-One Guidance</w:t>
      </w:r>
    </w:p>
    <w:p>
      <w:pPr>
        <w:pStyle w:val="ListParagraph"/>
        <w:numPr>
          <w:ilvl w:val="0"/>
          <w:numId w:val="2"/>
        </w:numPr>
        <w:spacing w:after="60"/>
      </w:pPr>
      <w:r>
        <w:t xml:space="preserve">Product Principle</w:t>
      </w:r>
    </w:p>
    <w:p>
      <w:pPr>
        <w:pStyle w:val="ListParagraph"/>
        <w:numPr>
          <w:ilvl w:val="0"/>
          <w:numId w:val="2"/>
        </w:numPr>
        <w:spacing w:after="60"/>
      </w:pPr>
      <w:r>
        <w:t xml:space="preserve">Open Issues</w:t>
      </w:r>
    </w:p>
    <w:p>
      <w:r>
        <w:br w:type="page"/>
      </w:r>
    </w:p>
    <w:p>
      <w:pPr>
        <w:pStyle w:val="Heading1"/>
      </w:pPr>
      <w:r>
        <w:t xml:space="preserve">1. Introduction</w:t>
      </w:r>
    </w:p>
    <w:p>
      <w:pPr>
        <w:pStyle w:val="Heading2"/>
      </w:pPr>
      <w:r>
        <w:t xml:space="preserve">1.1 Purpose</w:t>
      </w:r>
    </w:p>
    <w:p>
      <w:pPr>
        <w:spacing w:after="120"/>
      </w:pPr>
      <w:r>
        <w:t xml:space="preserve">This Software Requirements Specification defines the requirements for a web platform that helps SHS graduates in Ghana discover university programmes they may be eligible to apply for based on their WASSCE results, discover relevant scholarship opportunities, and book one-on-one guidance sessions with verified mentors.</w:t>
      </w:r>
    </w:p>
    <w:p>
      <w:pPr>
        <w:spacing w:after="120"/>
      </w:pPr>
      <w:r>
        <w:t xml:space="preserve">The first release will use a public, no-login student experience. The platform owner will be responsible for maintaining universities, programmes, admission requirements, scholarships, mentors, academic years, source information, verification status, and publication.</w:t>
      </w:r>
    </w:p>
    <w:p>
      <w:pPr>
        <w:pStyle w:val="Heading2"/>
      </w:pPr>
      <w:r>
        <w:t xml:space="preserve">1.2 Problem Statement</w:t>
      </w:r>
    </w:p>
    <w:p>
      <w:pPr>
        <w:spacing w:after="120"/>
      </w:pPr>
      <w:r>
        <w:t xml:space="preserve">Admission information is often distributed across university websites, admission brochures, portals, and other sources. SHS graduates may therefore find it difficult to determine which programmes match their results, where to find current scholarship opportunities, and whom to ask for informed guidance.</w:t>
      </w:r>
    </w:p>
    <w:p>
      <w:pPr>
        <w:pStyle w:val="Heading2"/>
      </w:pPr>
      <w:r>
        <w:t xml:space="preserve">1.3 Intended Audience</w:t>
      </w:r>
    </w:p>
    <w:p>
      <w:pPr>
        <w:pStyle w:val="ListParagraph"/>
        <w:numPr>
          <w:ilvl w:val="0"/>
          <w:numId w:val="3"/>
        </w:numPr>
        <w:spacing w:after="60"/>
      </w:pPr>
      <w:r>
        <w:t xml:space="preserve">Product owner and project stakeholders</w:t>
      </w:r>
    </w:p>
    <w:p>
      <w:pPr>
        <w:pStyle w:val="ListParagraph"/>
        <w:numPr>
          <w:ilvl w:val="0"/>
          <w:numId w:val="3"/>
        </w:numPr>
        <w:spacing w:after="60"/>
      </w:pPr>
      <w:r>
        <w:t xml:space="preserve">Software developers and architects</w:t>
      </w:r>
    </w:p>
    <w:p>
      <w:pPr>
        <w:pStyle w:val="ListParagraph"/>
        <w:numPr>
          <w:ilvl w:val="0"/>
          <w:numId w:val="3"/>
        </w:numPr>
        <w:spacing w:after="60"/>
      </w:pPr>
      <w:r>
        <w:t xml:space="preserve">UI/UX designers</w:t>
      </w:r>
    </w:p>
    <w:p>
      <w:pPr>
        <w:pStyle w:val="ListParagraph"/>
        <w:numPr>
          <w:ilvl w:val="0"/>
          <w:numId w:val="3"/>
        </w:numPr>
        <w:spacing w:after="60"/>
      </w:pPr>
      <w:r>
        <w:t xml:space="preserve">Database and backend engineers</w:t>
      </w:r>
    </w:p>
    <w:p>
      <w:pPr>
        <w:pStyle w:val="ListParagraph"/>
        <w:numPr>
          <w:ilvl w:val="0"/>
          <w:numId w:val="3"/>
        </w:numPr>
        <w:spacing w:after="60"/>
      </w:pPr>
      <w:r>
        <w:t xml:space="preserve">Quality assurance testers</w:t>
      </w:r>
    </w:p>
    <w:p>
      <w:pPr>
        <w:pStyle w:val="ListParagraph"/>
        <w:numPr>
          <w:ilvl w:val="0"/>
          <w:numId w:val="3"/>
        </w:numPr>
        <w:spacing w:after="60"/>
      </w:pPr>
      <w:r>
        <w:t xml:space="preserve">Platform administrators</w:t>
      </w:r>
    </w:p>
    <w:p>
      <w:pPr>
        <w:pStyle w:val="Heading1"/>
      </w:pPr>
      <w:r>
        <w:t xml:space="preserve">2. Product Vision and Objectives</w:t>
      </w:r>
    </w:p>
    <w:p>
      <w:pPr>
        <w:pStyle w:val="Heading2"/>
      </w:pPr>
      <w:r>
        <w:t xml:space="preserve">2.1 Vision</w:t>
      </w:r>
    </w:p>
    <w:p>
      <w:pPr>
        <w:spacing w:after="120"/>
      </w:pPr>
      <w:r>
        <w:t xml:space="preserve">Provide a trusted, easy-to-use starting point where an SHS graduate can enter their results and quickly discover programmes whose published admission requirements appear to match those results, discover scholarship opportunities, and access optional human guidance.</w:t>
      </w:r>
    </w:p>
    <w:p>
      <w:pPr>
        <w:pStyle w:val="Heading2"/>
      </w:pPr>
      <w:r>
        <w:t xml:space="preserve">2.2 Objectives</w:t>
      </w:r>
    </w:p>
    <w:p>
      <w:pPr>
        <w:pStyle w:val="ListParagraph"/>
        <w:numPr>
          <w:ilvl w:val="0"/>
          <w:numId w:val="3"/>
        </w:numPr>
        <w:spacing w:after="60"/>
      </w:pPr>
      <w:r>
        <w:t xml:space="preserve">Reduce the difficulty of interpreting university programme requirements.</w:t>
      </w:r>
    </w:p>
    <w:p>
      <w:pPr>
        <w:pStyle w:val="ListParagraph"/>
        <w:numPr>
          <w:ilvl w:val="0"/>
          <w:numId w:val="3"/>
        </w:numPr>
        <w:spacing w:after="60"/>
      </w:pPr>
      <w:r>
        <w:t xml:space="preserve">Provide transparent eligibility explanations instead of unexplained eligible/not-eligible labels.</w:t>
      </w:r>
    </w:p>
    <w:p>
      <w:pPr>
        <w:pStyle w:val="ListParagraph"/>
        <w:numPr>
          <w:ilvl w:val="0"/>
          <w:numId w:val="3"/>
        </w:numPr>
        <w:spacing w:after="60"/>
      </w:pPr>
      <w:r>
        <w:t xml:space="preserve">Maintain admission requirements by academic year.</w:t>
      </w:r>
    </w:p>
    <w:p>
      <w:pPr>
        <w:pStyle w:val="ListParagraph"/>
        <w:numPr>
          <w:ilvl w:val="0"/>
          <w:numId w:val="3"/>
        </w:numPr>
        <w:spacing w:after="60"/>
      </w:pPr>
      <w:r>
        <w:t xml:space="preserve">Provide verified source information for programme and scholarship records.</w:t>
      </w:r>
    </w:p>
    <w:p>
      <w:pPr>
        <w:pStyle w:val="ListParagraph"/>
        <w:numPr>
          <w:ilvl w:val="0"/>
          <w:numId w:val="3"/>
        </w:numPr>
        <w:spacing w:after="60"/>
      </w:pPr>
      <w:r>
        <w:t xml:space="preserve">Allow students to browse programmes, scholarships and mentors without registration.</w:t>
      </w:r>
    </w:p>
    <w:p>
      <w:pPr>
        <w:pStyle w:val="ListParagraph"/>
        <w:numPr>
          <w:ilvl w:val="0"/>
          <w:numId w:val="3"/>
        </w:numPr>
        <w:spacing w:after="60"/>
      </w:pPr>
      <w:r>
        <w:t xml:space="preserve">Give students access to optional one-on-one guidance from verified mentors.</w:t>
      </w:r>
    </w:p>
    <w:p>
      <w:pPr>
        <w:pStyle w:val="ListParagraph"/>
        <w:numPr>
          <w:ilvl w:val="0"/>
          <w:numId w:val="3"/>
        </w:numPr>
        <w:spacing w:after="60"/>
      </w:pPr>
      <w:r>
        <w:t xml:space="preserve">Give the platform administrator centralized control over all published data.</w:t>
      </w:r>
    </w:p>
    <w:p>
      <w:pPr>
        <w:pStyle w:val="ListParagraph"/>
        <w:numPr>
          <w:ilvl w:val="0"/>
          <w:numId w:val="3"/>
        </w:numPr>
        <w:spacing w:after="60"/>
      </w:pPr>
      <w:r>
        <w:t xml:space="preserve">Provide a foundation for later personalized recommendations, notifications, and institutional accounts.</w:t>
      </w:r>
    </w:p>
    <w:p>
      <w:pPr>
        <w:pStyle w:val="Heading1"/>
      </w:pPr>
      <w:r>
        <w:t xml:space="preserve">3. Scope</w:t>
      </w:r>
    </w:p>
    <w:p>
      <w:pPr>
        <w:pStyle w:val="Heading2"/>
      </w:pPr>
      <w:r>
        <w:t xml:space="preserve">3.1 In Scope</w:t>
      </w:r>
    </w:p>
    <w:p>
      <w:pPr>
        <w:pStyle w:val="ListParagraph"/>
        <w:numPr>
          <w:ilvl w:val="0"/>
          <w:numId w:val="3"/>
        </w:numPr>
        <w:spacing w:after="60"/>
      </w:pPr>
      <w:r>
        <w:t xml:space="preserve">Public programme discovery</w:t>
      </w:r>
    </w:p>
    <w:p>
      <w:pPr>
        <w:pStyle w:val="ListParagraph"/>
        <w:numPr>
          <w:ilvl w:val="0"/>
          <w:numId w:val="3"/>
        </w:numPr>
        <w:spacing w:after="60"/>
      </w:pPr>
      <w:r>
        <w:t xml:space="preserve">WASSCE result entry</w:t>
      </w:r>
    </w:p>
    <w:p>
      <w:pPr>
        <w:pStyle w:val="ListParagraph"/>
        <w:numPr>
          <w:ilvl w:val="0"/>
          <w:numId w:val="3"/>
        </w:numPr>
        <w:spacing w:after="60"/>
      </w:pPr>
      <w:r>
        <w:t xml:space="preserve">Programme eligibility checking</w:t>
      </w:r>
    </w:p>
    <w:p>
      <w:pPr>
        <w:pStyle w:val="ListParagraph"/>
        <w:numPr>
          <w:ilvl w:val="0"/>
          <w:numId w:val="3"/>
        </w:numPr>
        <w:spacing w:after="60"/>
      </w:pPr>
      <w:r>
        <w:t xml:space="preserve">Eligibility explanations</w:t>
      </w:r>
    </w:p>
    <w:p>
      <w:pPr>
        <w:pStyle w:val="ListParagraph"/>
        <w:numPr>
          <w:ilvl w:val="0"/>
          <w:numId w:val="3"/>
        </w:numPr>
        <w:spacing w:after="60"/>
      </w:pPr>
      <w:r>
        <w:t xml:space="preserve">University directory</w:t>
      </w:r>
    </w:p>
    <w:p>
      <w:pPr>
        <w:pStyle w:val="ListParagraph"/>
        <w:numPr>
          <w:ilvl w:val="0"/>
          <w:numId w:val="3"/>
        </w:numPr>
        <w:spacing w:after="60"/>
      </w:pPr>
      <w:r>
        <w:t xml:space="preserve">Programme detail pages</w:t>
      </w:r>
    </w:p>
    <w:p>
      <w:pPr>
        <w:pStyle w:val="ListParagraph"/>
        <w:numPr>
          <w:ilvl w:val="0"/>
          <w:numId w:val="3"/>
        </w:numPr>
        <w:spacing w:after="60"/>
      </w:pPr>
      <w:r>
        <w:t xml:space="preserve">Scholarship discovery and filtering</w:t>
      </w:r>
    </w:p>
    <w:p>
      <w:pPr>
        <w:pStyle w:val="ListParagraph"/>
        <w:numPr>
          <w:ilvl w:val="0"/>
          <w:numId w:val="3"/>
        </w:numPr>
        <w:spacing w:after="60"/>
      </w:pPr>
      <w:r>
        <w:t xml:space="preserve">Scholarship detail pages</w:t>
      </w:r>
    </w:p>
    <w:p>
      <w:pPr>
        <w:pStyle w:val="ListParagraph"/>
        <w:numPr>
          <w:ilvl w:val="0"/>
          <w:numId w:val="3"/>
        </w:numPr>
        <w:spacing w:after="60"/>
      </w:pPr>
      <w:r>
        <w:t xml:space="preserve">Mentor discovery and mentor profiles</w:t>
      </w:r>
    </w:p>
    <w:p>
      <w:pPr>
        <w:pStyle w:val="ListParagraph"/>
        <w:numPr>
          <w:ilvl w:val="0"/>
          <w:numId w:val="3"/>
        </w:numPr>
        <w:spacing w:after="60"/>
      </w:pPr>
      <w:r>
        <w:t xml:space="preserve">One-on-one mentoring session booking</w:t>
      </w:r>
    </w:p>
    <w:p>
      <w:pPr>
        <w:pStyle w:val="ListParagraph"/>
        <w:numPr>
          <w:ilvl w:val="0"/>
          <w:numId w:val="3"/>
        </w:numPr>
        <w:spacing w:after="60"/>
      </w:pPr>
      <w:r>
        <w:t xml:space="preserve">Booking confirmation email</w:t>
      </w:r>
    </w:p>
    <w:p>
      <w:pPr>
        <w:pStyle w:val="ListParagraph"/>
        <w:numPr>
          <w:ilvl w:val="0"/>
          <w:numId w:val="3"/>
        </w:numPr>
        <w:spacing w:after="60"/>
      </w:pPr>
      <w:r>
        <w:t xml:space="preserve">Academic-year-specific admission requirements</w:t>
      </w:r>
    </w:p>
    <w:p>
      <w:pPr>
        <w:pStyle w:val="ListParagraph"/>
        <w:numPr>
          <w:ilvl w:val="0"/>
          <w:numId w:val="3"/>
        </w:numPr>
        <w:spacing w:after="60"/>
      </w:pPr>
      <w:r>
        <w:t xml:space="preserve">Requirement versioning</w:t>
      </w:r>
    </w:p>
    <w:p>
      <w:pPr>
        <w:pStyle w:val="ListParagraph"/>
        <w:numPr>
          <w:ilvl w:val="0"/>
          <w:numId w:val="3"/>
        </w:numPr>
        <w:spacing w:after="60"/>
      </w:pPr>
      <w:r>
        <w:t xml:space="preserve">Source and verification metadata</w:t>
      </w:r>
    </w:p>
    <w:p>
      <w:pPr>
        <w:pStyle w:val="ListParagraph"/>
        <w:numPr>
          <w:ilvl w:val="0"/>
          <w:numId w:val="3"/>
        </w:numPr>
        <w:spacing w:after="60"/>
      </w:pPr>
      <w:r>
        <w:t xml:space="preserve">Administrator dashboard</w:t>
      </w:r>
    </w:p>
    <w:p>
      <w:pPr>
        <w:pStyle w:val="ListParagraph"/>
        <w:numPr>
          <w:ilvl w:val="0"/>
          <w:numId w:val="3"/>
        </w:numPr>
        <w:spacing w:after="60"/>
      </w:pPr>
      <w:r>
        <w:t xml:space="preserve">University, programme, requirement, scholarship and mentor management</w:t>
      </w:r>
    </w:p>
    <w:p>
      <w:pPr>
        <w:pStyle w:val="ListParagraph"/>
        <w:numPr>
          <w:ilvl w:val="0"/>
          <w:numId w:val="3"/>
        </w:numPr>
        <w:spacing w:after="60"/>
      </w:pPr>
      <w:r>
        <w:t xml:space="preserve">Publication and archival status</w:t>
      </w:r>
    </w:p>
    <w:p>
      <w:pPr>
        <w:pStyle w:val="ListParagraph"/>
        <w:numPr>
          <w:ilvl w:val="0"/>
          <w:numId w:val="3"/>
        </w:numPr>
        <w:spacing w:after="60"/>
      </w:pPr>
      <w:r>
        <w:t xml:space="preserve">Audit logging</w:t>
      </w:r>
    </w:p>
    <w:p>
      <w:pPr>
        <w:pStyle w:val="Heading2"/>
      </w:pPr>
      <w:r>
        <w:t xml:space="preserve">3.2 Out of Scope for Initial Release</w:t>
      </w:r>
    </w:p>
    <w:p>
      <w:pPr>
        <w:pStyle w:val="ListParagraph"/>
        <w:numPr>
          <w:ilvl w:val="0"/>
          <w:numId w:val="3"/>
        </w:numPr>
        <w:spacing w:after="60"/>
      </w:pPr>
      <w:r>
        <w:t xml:space="preserve">Student accounts and persistent student profiles</w:t>
      </w:r>
    </w:p>
    <w:p>
      <w:pPr>
        <w:pStyle w:val="ListParagraph"/>
        <w:numPr>
          <w:ilvl w:val="0"/>
          <w:numId w:val="3"/>
        </w:numPr>
        <w:spacing w:after="60"/>
      </w:pPr>
      <w:r>
        <w:t xml:space="preserve">University self-service accounts</w:t>
      </w:r>
    </w:p>
    <w:p>
      <w:pPr>
        <w:pStyle w:val="ListParagraph"/>
        <w:numPr>
          <w:ilvl w:val="0"/>
          <w:numId w:val="3"/>
        </w:numPr>
        <w:spacing w:after="60"/>
      </w:pPr>
      <w:r>
        <w:t xml:space="preserve">Scholarship-provider accounts</w:t>
      </w:r>
    </w:p>
    <w:p>
      <w:pPr>
        <w:pStyle w:val="ListParagraph"/>
        <w:numPr>
          <w:ilvl w:val="0"/>
          <w:numId w:val="3"/>
        </w:numPr>
        <w:spacing w:after="60"/>
      </w:pPr>
      <w:r>
        <w:t xml:space="preserve">Mentor self-service accounts</w:t>
      </w:r>
    </w:p>
    <w:p>
      <w:pPr>
        <w:pStyle w:val="ListParagraph"/>
        <w:numPr>
          <w:ilvl w:val="0"/>
          <w:numId w:val="3"/>
        </w:numPr>
        <w:spacing w:after="60"/>
      </w:pPr>
      <w:r>
        <w:t xml:space="preserve">Direct university application processing</w:t>
      </w:r>
    </w:p>
    <w:p>
      <w:pPr>
        <w:pStyle w:val="ListParagraph"/>
        <w:numPr>
          <w:ilvl w:val="0"/>
          <w:numId w:val="3"/>
        </w:numPr>
        <w:spacing w:after="60"/>
      </w:pPr>
      <w:r>
        <w:t xml:space="preserve">Direct scholarship application processing</w:t>
      </w:r>
    </w:p>
    <w:p>
      <w:pPr>
        <w:pStyle w:val="ListParagraph"/>
        <w:numPr>
          <w:ilvl w:val="0"/>
          <w:numId w:val="3"/>
        </w:numPr>
        <w:spacing w:after="60"/>
      </w:pPr>
      <w:r>
        <w:t xml:space="preserve">Guaranteed admission predictions</w:t>
      </w:r>
    </w:p>
    <w:p>
      <w:pPr>
        <w:pStyle w:val="ListParagraph"/>
        <w:numPr>
          <w:ilvl w:val="0"/>
          <w:numId w:val="3"/>
        </w:numPr>
        <w:spacing w:after="60"/>
      </w:pPr>
      <w:r>
        <w:t xml:space="preserve">Payment processing (including paid mentoring)</w:t>
      </w:r>
    </w:p>
    <w:p>
      <w:pPr>
        <w:pStyle w:val="ListParagraph"/>
        <w:numPr>
          <w:ilvl w:val="0"/>
          <w:numId w:val="3"/>
        </w:numPr>
        <w:spacing w:after="60"/>
      </w:pPr>
      <w:r>
        <w:t xml:space="preserve">General email or WhatsApp notifications (other than booking confirmation)</w:t>
      </w:r>
    </w:p>
    <w:p>
      <w:pPr>
        <w:pStyle w:val="ListParagraph"/>
        <w:numPr>
          <w:ilvl w:val="0"/>
          <w:numId w:val="3"/>
        </w:numPr>
        <w:spacing w:after="60"/>
      </w:pPr>
      <w:r>
        <w:t xml:space="preserve">Automated collection of unverified admission requirements from arbitrary websites</w:t>
      </w:r>
    </w:p>
    <w:p>
      <w:pPr>
        <w:pStyle w:val="Heading1"/>
      </w:pPr>
      <w:r>
        <w:t xml:space="preserve">4. User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226"/>
        <w:gridCol w:w="2000"/>
      </w:tblGrid>
      <w:tr>
        <w:trPr>
          <w:tblHeader/>
        </w:trPr>
        <w:tc>
          <w:tcPr>
            <w:tcW w:type="dxa" w:w="1800"/>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Role</w:t>
            </w:r>
          </w:p>
        </w:tc>
        <w:tc>
          <w:tcPr>
            <w:tcW w:type="dxa" w:w="5226"/>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Description</w:t>
            </w:r>
          </w:p>
        </w:tc>
        <w:tc>
          <w:tcPr>
            <w:tcW w:type="dxa" w:w="2000"/>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Authentication</w:t>
            </w:r>
          </w:p>
        </w:tc>
      </w:tr>
      <w:tr>
        <w:tc>
          <w:tcPr>
            <w:tcW w:type="dxa" w:w="18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Public Student</w:t>
            </w:r>
          </w:p>
        </w:tc>
        <w:tc>
          <w:tcPr>
            <w:tcW w:type="dxa" w:w="52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Uses programme, scholarship and mentor discovery, enters results for eligibility checking, and books mentoring sessions.</w:t>
            </w:r>
          </w:p>
        </w:tc>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Not required</w:t>
            </w:r>
          </w:p>
        </w:tc>
      </w:tr>
      <w:tr>
        <w:tc>
          <w:tcPr>
            <w:tcW w:type="dxa" w:w="18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Administrator</w:t>
            </w:r>
          </w:p>
        </w:tc>
        <w:tc>
          <w:tcPr>
            <w:tcW w:type="dxa" w:w="52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Controls all platform data, requirements, sources, verification, mentors, bookings and publication.</w:t>
            </w:r>
          </w:p>
        </w:tc>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Required</w:t>
            </w:r>
          </w:p>
        </w:tc>
      </w:tr>
      <w:tr>
        <w:tc>
          <w:tcPr>
            <w:tcW w:type="dxa" w:w="18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Mentor</w:t>
            </w:r>
          </w:p>
        </w:tc>
        <w:tc>
          <w:tcPr>
            <w:tcW w:type="dxa" w:w="52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Provides one-on-one guidance sessions. Profiles and availability are managed by the administrator in the initial release.</w:t>
            </w:r>
          </w:p>
        </w:tc>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None in initial release</w:t>
            </w:r>
          </w:p>
        </w:tc>
      </w:tr>
    </w:tbl>
    <w:p>
      <w:pPr>
        <w:spacing w:after="120"/>
      </w:pPr>
    </w:p>
    <w:p>
      <w:pPr>
        <w:pStyle w:val="Heading1"/>
      </w:pPr>
      <w:r>
        <w:t xml:space="preserve">5. Functional Requirements</w:t>
      </w:r>
    </w:p>
    <w:p>
      <w:pPr>
        <w:pStyle w:val="Heading2"/>
      </w:pPr>
      <w:r>
        <w:t xml:space="preserve">5.1 Public Homepage</w:t>
      </w:r>
    </w:p>
    <w:p>
      <w:pPr>
        <w:pStyle w:val="ListParagraph"/>
        <w:numPr>
          <w:ilvl w:val="0"/>
          <w:numId w:val="3"/>
        </w:numPr>
        <w:spacing w:after="60"/>
      </w:pPr>
      <w:r>
        <w:t xml:space="preserve">The system shall provide a public homepage.</w:t>
      </w:r>
    </w:p>
    <w:p>
      <w:pPr>
        <w:pStyle w:val="ListParagraph"/>
        <w:numPr>
          <w:ilvl w:val="0"/>
          <w:numId w:val="3"/>
        </w:numPr>
        <w:spacing w:after="60"/>
      </w:pPr>
      <w:r>
        <w:t xml:space="preserve">The homepage shall clearly communicate the purpose of the platform.</w:t>
      </w:r>
    </w:p>
    <w:p>
      <w:pPr>
        <w:pStyle w:val="ListParagraph"/>
        <w:numPr>
          <w:ilvl w:val="0"/>
          <w:numId w:val="3"/>
        </w:numPr>
        <w:spacing w:after="60"/>
      </w:pPr>
      <w:r>
        <w:t xml:space="preserve">The homepage shall provide a primary call-to-action to check programme eligibility.</w:t>
      </w:r>
    </w:p>
    <w:p>
      <w:pPr>
        <w:pStyle w:val="ListParagraph"/>
        <w:numPr>
          <w:ilvl w:val="0"/>
          <w:numId w:val="3"/>
        </w:numPr>
        <w:spacing w:after="60"/>
      </w:pPr>
      <w:r>
        <w:t xml:space="preserve">The homepage shall provide a route to explore programmes.</w:t>
      </w:r>
    </w:p>
    <w:p>
      <w:pPr>
        <w:pStyle w:val="ListParagraph"/>
        <w:numPr>
          <w:ilvl w:val="0"/>
          <w:numId w:val="3"/>
        </w:numPr>
        <w:spacing w:after="60"/>
      </w:pPr>
      <w:r>
        <w:t xml:space="preserve">The homepage shall provide a route to explore scholarships.</w:t>
      </w:r>
    </w:p>
    <w:p>
      <w:pPr>
        <w:pStyle w:val="ListParagraph"/>
        <w:numPr>
          <w:ilvl w:val="0"/>
          <w:numId w:val="3"/>
        </w:numPr>
        <w:spacing w:after="60"/>
      </w:pPr>
      <w:r>
        <w:t xml:space="preserve">The homepage shall provide a route to find a mentor.</w:t>
      </w:r>
    </w:p>
    <w:p>
      <w:pPr>
        <w:pStyle w:val="ListParagraph"/>
        <w:numPr>
          <w:ilvl w:val="0"/>
          <w:numId w:val="3"/>
        </w:numPr>
        <w:spacing w:after="60"/>
      </w:pPr>
      <w:r>
        <w:t xml:space="preserve">The homepage shall communicate that eligibility is based on published requirements and does not guarantee admission.</w:t>
      </w:r>
    </w:p>
    <w:p>
      <w:pPr>
        <w:pStyle w:val="Heading2"/>
      </w:pPr>
      <w:r>
        <w:t xml:space="preserve">5.2 WASSCE Results Entry</w:t>
      </w:r>
    </w:p>
    <w:p>
      <w:pPr>
        <w:pStyle w:val="ListParagraph"/>
        <w:numPr>
          <w:ilvl w:val="0"/>
          <w:numId w:val="3"/>
        </w:numPr>
        <w:spacing w:after="60"/>
      </w:pPr>
      <w:r>
        <w:t xml:space="preserve">The system shall allow a public user to enter WASSCE subjects and grades without creating an account.</w:t>
      </w:r>
    </w:p>
    <w:p>
      <w:pPr>
        <w:pStyle w:val="ListParagraph"/>
        <w:numPr>
          <w:ilvl w:val="0"/>
          <w:numId w:val="3"/>
        </w:numPr>
        <w:spacing w:after="60"/>
      </w:pPr>
      <w:r>
        <w:t xml:space="preserve">The system shall support core and elective subjects configured by the administrator.</w:t>
      </w:r>
    </w:p>
    <w:p>
      <w:pPr>
        <w:pStyle w:val="ListParagraph"/>
        <w:numPr>
          <w:ilvl w:val="0"/>
          <w:numId w:val="3"/>
        </w:numPr>
        <w:spacing w:after="60"/>
      </w:pPr>
      <w:r>
        <w:t xml:space="preserve">The system shall use a centrally managed grade catalogue.</w:t>
      </w:r>
    </w:p>
    <w:p>
      <w:pPr>
        <w:pStyle w:val="ListParagraph"/>
        <w:numPr>
          <w:ilvl w:val="0"/>
          <w:numId w:val="3"/>
        </w:numPr>
        <w:spacing w:after="60"/>
      </w:pPr>
      <w:r>
        <w:t xml:space="preserve">The system shall validate that required subjects have valid grades.</w:t>
      </w:r>
    </w:p>
    <w:p>
      <w:pPr>
        <w:pStyle w:val="ListParagraph"/>
        <w:numPr>
          <w:ilvl w:val="0"/>
          <w:numId w:val="3"/>
        </w:numPr>
        <w:spacing w:after="60"/>
      </w:pPr>
      <w:r>
        <w:t xml:space="preserve">The system shall allow users to review and edit results before running an eligibility search.</w:t>
      </w:r>
    </w:p>
    <w:p>
      <w:pPr>
        <w:pStyle w:val="ListParagraph"/>
        <w:numPr>
          <w:ilvl w:val="0"/>
          <w:numId w:val="3"/>
        </w:numPr>
        <w:spacing w:after="60"/>
      </w:pPr>
      <w:r>
        <w:t xml:space="preserve">The system should calculate an aggregate only where the configured rules make such a calculation appropriate; eligibility shall not depend solely on aggregate.</w:t>
      </w:r>
    </w:p>
    <w:p>
      <w:pPr>
        <w:pStyle w:val="ListParagraph"/>
        <w:numPr>
          <w:ilvl w:val="0"/>
          <w:numId w:val="3"/>
        </w:numPr>
        <w:spacing w:after="60"/>
      </w:pPr>
      <w:r>
        <w:t xml:space="preserve">The system shall not expose a student's entered results publicly.</w:t>
      </w:r>
    </w:p>
    <w:p>
      <w:pPr>
        <w:pStyle w:val="Heading2"/>
      </w:pPr>
      <w:r>
        <w:t xml:space="preserve">5.3 Programme Search and Discovery</w:t>
      </w:r>
    </w:p>
    <w:p>
      <w:pPr>
        <w:pStyle w:val="ListParagraph"/>
        <w:numPr>
          <w:ilvl w:val="0"/>
          <w:numId w:val="3"/>
        </w:numPr>
        <w:spacing w:after="60"/>
      </w:pPr>
      <w:r>
        <w:t xml:space="preserve">Users shall be able to search programmes by name.</w:t>
      </w:r>
    </w:p>
    <w:p>
      <w:pPr>
        <w:pStyle w:val="ListParagraph"/>
        <w:numPr>
          <w:ilvl w:val="0"/>
          <w:numId w:val="3"/>
        </w:numPr>
        <w:spacing w:after="60"/>
      </w:pPr>
      <w:r>
        <w:t xml:space="preserve">Users shall be able to filter programmes by university, field, degree type and location.</w:t>
      </w:r>
    </w:p>
    <w:p>
      <w:pPr>
        <w:pStyle w:val="ListParagraph"/>
        <w:numPr>
          <w:ilvl w:val="0"/>
          <w:numId w:val="3"/>
        </w:numPr>
        <w:spacing w:after="60"/>
      </w:pPr>
      <w:r>
        <w:t xml:space="preserve">Users shall be able to filter results to programmes for which they appear eligible after entering results.</w:t>
      </w:r>
    </w:p>
    <w:p>
      <w:pPr>
        <w:pStyle w:val="ListParagraph"/>
        <w:numPr>
          <w:ilvl w:val="0"/>
          <w:numId w:val="3"/>
        </w:numPr>
        <w:spacing w:after="60"/>
      </w:pPr>
      <w:r>
        <w:t xml:space="preserve">Programme search results shall identify the university and relevant academic/admission year.</w:t>
      </w:r>
    </w:p>
    <w:p>
      <w:pPr>
        <w:pStyle w:val="ListParagraph"/>
        <w:numPr>
          <w:ilvl w:val="0"/>
          <w:numId w:val="3"/>
        </w:numPr>
        <w:spacing w:after="60"/>
      </w:pPr>
      <w:r>
        <w:t xml:space="preserve">Users shall be able to open a programme detail page.</w:t>
      </w:r>
    </w:p>
    <w:p>
      <w:pPr>
        <w:pStyle w:val="Heading2"/>
      </w:pPr>
      <w:r>
        <w:t xml:space="preserve">5.4 Programme Details</w:t>
      </w:r>
    </w:p>
    <w:p>
      <w:pPr>
        <w:pStyle w:val="ListParagraph"/>
        <w:numPr>
          <w:ilvl w:val="0"/>
          <w:numId w:val="3"/>
        </w:numPr>
        <w:spacing w:after="60"/>
      </w:pPr>
      <w:r>
        <w:t xml:space="preserve">A programme page shall display programme name, university, faculty/school where available, degree type, duration and description.</w:t>
      </w:r>
    </w:p>
    <w:p>
      <w:pPr>
        <w:pStyle w:val="ListParagraph"/>
        <w:numPr>
          <w:ilvl w:val="0"/>
          <w:numId w:val="3"/>
        </w:numPr>
        <w:spacing w:after="60"/>
      </w:pPr>
      <w:r>
        <w:t xml:space="preserve">A programme page shall display the applicable admission cycle.</w:t>
      </w:r>
    </w:p>
    <w:p>
      <w:pPr>
        <w:pStyle w:val="ListParagraph"/>
        <w:numPr>
          <w:ilvl w:val="0"/>
          <w:numId w:val="3"/>
        </w:numPr>
        <w:spacing w:after="60"/>
      </w:pPr>
      <w:r>
        <w:t xml:space="preserve">A programme page shall display structured admission requirements.</w:t>
      </w:r>
    </w:p>
    <w:p>
      <w:pPr>
        <w:pStyle w:val="ListParagraph"/>
        <w:numPr>
          <w:ilvl w:val="0"/>
          <w:numId w:val="3"/>
        </w:numPr>
        <w:spacing w:after="60"/>
      </w:pPr>
      <w:r>
        <w:t xml:space="preserve">Where results have been entered, the page shall display the user's requirement-by-requirement status.</w:t>
      </w:r>
    </w:p>
    <w:p>
      <w:pPr>
        <w:pStyle w:val="ListParagraph"/>
        <w:numPr>
          <w:ilvl w:val="0"/>
          <w:numId w:val="3"/>
        </w:numPr>
        <w:spacing w:after="60"/>
      </w:pPr>
      <w:r>
        <w:t xml:space="preserve">The page shall display source and verification information.</w:t>
      </w:r>
    </w:p>
    <w:p>
      <w:pPr>
        <w:pStyle w:val="ListParagraph"/>
        <w:numPr>
          <w:ilvl w:val="0"/>
          <w:numId w:val="3"/>
        </w:numPr>
        <w:spacing w:after="60"/>
      </w:pPr>
      <w:r>
        <w:t xml:space="preserve">The page shall provide the official application URL when available.</w:t>
      </w:r>
    </w:p>
    <w:p>
      <w:pPr>
        <w:pStyle w:val="ListParagraph"/>
        <w:numPr>
          <w:ilvl w:val="0"/>
          <w:numId w:val="3"/>
        </w:numPr>
        <w:spacing w:after="60"/>
      </w:pPr>
      <w:r>
        <w:t xml:space="preserve">The page shall clearly distinguish platform eligibility assessment from an institution's final admission decision.</w:t>
      </w:r>
    </w:p>
    <w:p>
      <w:pPr>
        <w:pStyle w:val="Heading2"/>
      </w:pPr>
      <w:r>
        <w:t xml:space="preserve">5.5 University Directory</w:t>
      </w:r>
    </w:p>
    <w:p>
      <w:pPr>
        <w:pStyle w:val="ListParagraph"/>
        <w:numPr>
          <w:ilvl w:val="0"/>
          <w:numId w:val="3"/>
        </w:numPr>
        <w:spacing w:after="60"/>
      </w:pPr>
      <w:r>
        <w:t xml:space="preserve">Users shall be able to browse universities.</w:t>
      </w:r>
    </w:p>
    <w:p>
      <w:pPr>
        <w:pStyle w:val="ListParagraph"/>
        <w:numPr>
          <w:ilvl w:val="0"/>
          <w:numId w:val="3"/>
        </w:numPr>
        <w:spacing w:after="60"/>
      </w:pPr>
      <w:r>
        <w:t xml:space="preserve">Users shall be able to search universities by name.</w:t>
      </w:r>
    </w:p>
    <w:p>
      <w:pPr>
        <w:pStyle w:val="ListParagraph"/>
        <w:numPr>
          <w:ilvl w:val="0"/>
          <w:numId w:val="3"/>
        </w:numPr>
        <w:spacing w:after="60"/>
      </w:pPr>
      <w:r>
        <w:t xml:space="preserve">University pages shall display institution name, type, location, description, website and admissions information where available.</w:t>
      </w:r>
    </w:p>
    <w:p>
      <w:pPr>
        <w:pStyle w:val="ListParagraph"/>
        <w:numPr>
          <w:ilvl w:val="0"/>
          <w:numId w:val="3"/>
        </w:numPr>
        <w:spacing w:after="60"/>
      </w:pPr>
      <w:r>
        <w:t xml:space="preserve">University pages shall list published programmes.</w:t>
      </w:r>
    </w:p>
    <w:p>
      <w:pPr>
        <w:pStyle w:val="ListParagraph"/>
        <w:numPr>
          <w:ilvl w:val="0"/>
          <w:numId w:val="3"/>
        </w:numPr>
        <w:spacing w:after="60"/>
      </w:pPr>
      <w:r>
        <w:t xml:space="preserve">University pages may list scholarships associated with the institution.</w:t>
      </w:r>
    </w:p>
    <w:p>
      <w:pPr>
        <w:pStyle w:val="Heading2"/>
      </w:pPr>
      <w:r>
        <w:t xml:space="preserve">5.6 Scholarship Discovery</w:t>
      </w:r>
    </w:p>
    <w:p>
      <w:pPr>
        <w:pStyle w:val="ListParagraph"/>
        <w:numPr>
          <w:ilvl w:val="0"/>
          <w:numId w:val="3"/>
        </w:numPr>
        <w:spacing w:after="60"/>
      </w:pPr>
      <w:r>
        <w:t xml:space="preserve">Users shall be able to search scholarships by name and provider.</w:t>
      </w:r>
    </w:p>
    <w:p>
      <w:pPr>
        <w:pStyle w:val="ListParagraph"/>
        <w:numPr>
          <w:ilvl w:val="0"/>
          <w:numId w:val="3"/>
        </w:numPr>
        <w:spacing w:after="60"/>
      </w:pPr>
      <w:r>
        <w:t xml:space="preserve">Users shall be able to filter scholarships by study level, field, eligibility category, location and status.</w:t>
      </w:r>
    </w:p>
    <w:p>
      <w:pPr>
        <w:pStyle w:val="ListParagraph"/>
        <w:numPr>
          <w:ilvl w:val="0"/>
          <w:numId w:val="3"/>
        </w:numPr>
        <w:spacing w:after="60"/>
      </w:pPr>
      <w:r>
        <w:t xml:space="preserve">Users shall be able to filter for open or upcoming scholarships.</w:t>
      </w:r>
    </w:p>
    <w:p>
      <w:pPr>
        <w:pStyle w:val="ListParagraph"/>
        <w:numPr>
          <w:ilvl w:val="0"/>
          <w:numId w:val="3"/>
        </w:numPr>
        <w:spacing w:after="60"/>
      </w:pPr>
      <w:r>
        <w:t xml:space="preserve">Scholarship results shall show the deadline where available.</w:t>
      </w:r>
    </w:p>
    <w:p>
      <w:pPr>
        <w:pStyle w:val="ListParagraph"/>
        <w:numPr>
          <w:ilvl w:val="0"/>
          <w:numId w:val="3"/>
        </w:numPr>
        <w:spacing w:after="60"/>
      </w:pPr>
      <w:r>
        <w:t xml:space="preserve">Scholarship detail pages shall display provider, description, eligibility, coverage, opening date, deadline, requirements and official application URL where available.</w:t>
      </w:r>
    </w:p>
    <w:p>
      <w:pPr>
        <w:pStyle w:val="ListParagraph"/>
        <w:numPr>
          <w:ilvl w:val="0"/>
          <w:numId w:val="3"/>
        </w:numPr>
        <w:spacing w:after="60"/>
      </w:pPr>
      <w:r>
        <w:t xml:space="preserve">The system shall distinguish between meeting published eligibility criteria and receiving an award.</w:t>
      </w:r>
    </w:p>
    <w:p>
      <w:pPr>
        <w:pStyle w:val="Heading2"/>
      </w:pPr>
      <w:r>
        <w:t xml:space="preserve">5.7 Temporary Sessions</w:t>
      </w:r>
    </w:p>
    <w:p>
      <w:pPr>
        <w:pStyle w:val="ListParagraph"/>
        <w:numPr>
          <w:ilvl w:val="0"/>
          <w:numId w:val="3"/>
        </w:numPr>
        <w:spacing w:after="60"/>
      </w:pPr>
      <w:r>
        <w:t xml:space="preserve">The platform may maintain entered results in a temporary browser/session context for the current discovery flow.</w:t>
      </w:r>
    </w:p>
    <w:p>
      <w:pPr>
        <w:pStyle w:val="ListParagraph"/>
        <w:numPr>
          <w:ilvl w:val="0"/>
          <w:numId w:val="3"/>
        </w:numPr>
        <w:spacing w:after="60"/>
      </w:pPr>
      <w:r>
        <w:t xml:space="preserve">The initial release shall not require permanent storage of student results.</w:t>
      </w:r>
    </w:p>
    <w:p>
      <w:pPr>
        <w:pStyle w:val="ListParagraph"/>
        <w:numPr>
          <w:ilvl w:val="0"/>
          <w:numId w:val="3"/>
        </w:numPr>
        <w:spacing w:after="60"/>
      </w:pPr>
      <w:r>
        <w:t xml:space="preserve">If temporary result sessions are implemented server-side, they shall use non-guessable identifiers and an expiration policy.</w:t>
      </w:r>
    </w:p>
    <w:p>
      <w:pPr>
        <w:pStyle w:val="Heading1"/>
      </w:pPr>
      <w:r>
        <w:t xml:space="preserve">6. Eligibility Engine Requirements</w:t>
      </w:r>
    </w:p>
    <w:p>
      <w:pPr>
        <w:spacing w:after="120"/>
      </w:pPr>
      <w:r>
        <w:t xml:space="preserve">The eligibility engine is the core business-logic component. It shall evaluate a student's entered results against structured programme requirements for a specific admission cycle.</w:t>
      </w:r>
    </w:p>
    <w:p>
      <w:pPr>
        <w:pStyle w:val="Heading2"/>
      </w:pPr>
      <w:r>
        <w:t xml:space="preserve">6.1 Eligibility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State</w:t>
            </w:r>
          </w:p>
        </w:tc>
        <w:tc>
          <w:tcPr>
            <w:tcW w:type="dxa" w:w="6826"/>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Meaning</w:t>
            </w:r>
          </w:p>
        </w:tc>
      </w:tr>
      <w:tr>
        <w:tc>
          <w:tcPr>
            <w:tcW w:type="dxa" w:w="2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Eligible</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All known mandatory requirements are satisfied.</w:t>
            </w:r>
          </w:p>
        </w:tc>
      </w:tr>
      <w:tr>
        <w:tc>
          <w:tcPr>
            <w:tcW w:type="dxa" w:w="2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Likely Eligible</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Available rules appear satisfied, but one or more conditions require a qualification or additional review.</w:t>
            </w:r>
          </w:p>
        </w:tc>
      </w:tr>
      <w:tr>
        <w:tc>
          <w:tcPr>
            <w:tcW w:type="dxa" w:w="2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Not Eligible</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At least one mandatory requirement is not satisfied.</w:t>
            </w:r>
          </w:p>
        </w:tc>
      </w:tr>
      <w:tr>
        <w:tc>
          <w:tcPr>
            <w:tcW w:type="dxa" w:w="2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Needs Review</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The requirement structure cannot be safely evaluated automatically.</w:t>
            </w:r>
          </w:p>
        </w:tc>
      </w:tr>
    </w:tbl>
    <w:p>
      <w:pPr>
        <w:spacing w:after="120"/>
      </w:pPr>
    </w:p>
    <w:p>
      <w:pPr>
        <w:spacing w:after="120"/>
      </w:pPr>
      <w:r>
        <w:t xml:space="preserve">Presentation of these states is defined in Section 11.6.</w:t>
      </w:r>
    </w:p>
    <w:p>
      <w:pPr>
        <w:pStyle w:val="Heading2"/>
      </w:pPr>
      <w:r>
        <w:t xml:space="preserve">6.2 Rule Logic</w:t>
      </w:r>
    </w:p>
    <w:p>
      <w:pPr>
        <w:pStyle w:val="ListParagraph"/>
        <w:numPr>
          <w:ilvl w:val="0"/>
          <w:numId w:val="3"/>
        </w:numPr>
        <w:spacing w:after="60"/>
      </w:pPr>
      <w:r>
        <w:t xml:space="preserve">The engine shall support AND conditions.</w:t>
      </w:r>
    </w:p>
    <w:p>
      <w:pPr>
        <w:pStyle w:val="ListParagraph"/>
        <w:numPr>
          <w:ilvl w:val="0"/>
          <w:numId w:val="3"/>
        </w:numPr>
        <w:spacing w:after="60"/>
      </w:pPr>
      <w:r>
        <w:t xml:space="preserve">The engine shall support OR conditions.</w:t>
      </w:r>
    </w:p>
    <w:p>
      <w:pPr>
        <w:pStyle w:val="ListParagraph"/>
        <w:numPr>
          <w:ilvl w:val="0"/>
          <w:numId w:val="3"/>
        </w:numPr>
        <w:spacing w:after="60"/>
      </w:pPr>
      <w:r>
        <w:t xml:space="preserve">The engine shall support grouped conditions.</w:t>
      </w:r>
    </w:p>
    <w:p>
      <w:pPr>
        <w:pStyle w:val="ListParagraph"/>
        <w:numPr>
          <w:ilvl w:val="0"/>
          <w:numId w:val="3"/>
        </w:numPr>
        <w:spacing w:after="60"/>
      </w:pPr>
      <w:r>
        <w:t xml:space="preserve">The engine should support 'any N of' subject groups.</w:t>
      </w:r>
    </w:p>
    <w:p>
      <w:pPr>
        <w:pStyle w:val="ListParagraph"/>
        <w:numPr>
          <w:ilvl w:val="0"/>
          <w:numId w:val="3"/>
        </w:numPr>
        <w:spacing w:after="60"/>
      </w:pPr>
      <w:r>
        <w:t xml:space="preserve">The engine shall support minimum grade requirements.</w:t>
      </w:r>
    </w:p>
    <w:p>
      <w:pPr>
        <w:pStyle w:val="ListParagraph"/>
        <w:numPr>
          <w:ilvl w:val="0"/>
          <w:numId w:val="3"/>
        </w:numPr>
        <w:spacing w:after="60"/>
      </w:pPr>
      <w:r>
        <w:t xml:space="preserve">The engine shall support subject-specific requirements.</w:t>
      </w:r>
    </w:p>
    <w:p>
      <w:pPr>
        <w:pStyle w:val="ListParagraph"/>
        <w:numPr>
          <w:ilvl w:val="0"/>
          <w:numId w:val="3"/>
        </w:numPr>
        <w:spacing w:after="60"/>
      </w:pPr>
      <w:r>
        <w:t xml:space="preserve">The engine should support equivalent or alternative subject rules where configured.</w:t>
      </w:r>
    </w:p>
    <w:p>
      <w:pPr>
        <w:pStyle w:val="ListParagraph"/>
        <w:numPr>
          <w:ilvl w:val="0"/>
          <w:numId w:val="3"/>
        </w:numPr>
        <w:spacing w:after="60"/>
      </w:pPr>
      <w:r>
        <w:t xml:space="preserve">The engine shall identify the specific rule(s) causing an ineligible result.</w:t>
      </w:r>
    </w:p>
    <w:p>
      <w:pPr>
        <w:pStyle w:val="Heading2"/>
      </w:pPr>
      <w:r>
        <w:t xml:space="preserve">6.3 Grade Comparison</w:t>
      </w:r>
    </w:p>
    <w:p>
      <w:pPr>
        <w:spacing w:after="120"/>
      </w:pPr>
      <w:r>
        <w:t xml:space="preserve">The system shall maintain an ordered grade model so that requirements such as 'C6 or better' can be evaluated consistently. The grade ordering shall be configurable rather than embedded directly in frontend code.</w:t>
      </w:r>
    </w:p>
    <w:p>
      <w:pPr>
        <w:pStyle w:val="Heading2"/>
      </w:pPr>
      <w:r>
        <w:t xml:space="preserve">6.4 Eligibility Explanation</w:t>
      </w:r>
    </w:p>
    <w:p>
      <w:pPr>
        <w:pStyle w:val="ListParagraph"/>
        <w:numPr>
          <w:ilvl w:val="0"/>
          <w:numId w:val="3"/>
        </w:numPr>
        <w:spacing w:after="60"/>
      </w:pPr>
      <w:r>
        <w:t xml:space="preserve">The system shall show which requirements are satisfied.</w:t>
      </w:r>
    </w:p>
    <w:p>
      <w:pPr>
        <w:pStyle w:val="ListParagraph"/>
        <w:numPr>
          <w:ilvl w:val="0"/>
          <w:numId w:val="3"/>
        </w:numPr>
        <w:spacing w:after="60"/>
      </w:pPr>
      <w:r>
        <w:t xml:space="preserve">The system shall show which requirements are not satisfied.</w:t>
      </w:r>
    </w:p>
    <w:p>
      <w:pPr>
        <w:pStyle w:val="ListParagraph"/>
        <w:numPr>
          <w:ilvl w:val="0"/>
          <w:numId w:val="3"/>
        </w:numPr>
        <w:spacing w:after="60"/>
      </w:pPr>
      <w:r>
        <w:t xml:space="preserve">The system shall show the student's grade and the required threshold where applicable.</w:t>
      </w:r>
    </w:p>
    <w:p>
      <w:pPr>
        <w:pStyle w:val="ListParagraph"/>
        <w:numPr>
          <w:ilvl w:val="0"/>
          <w:numId w:val="3"/>
        </w:numPr>
        <w:spacing w:after="60"/>
      </w:pPr>
      <w:r>
        <w:t xml:space="preserve">The system shall identify alternative conditions when an OR rule is involved.</w:t>
      </w:r>
    </w:p>
    <w:p>
      <w:pPr>
        <w:pStyle w:val="ListParagraph"/>
        <w:numPr>
          <w:ilvl w:val="0"/>
          <w:numId w:val="3"/>
        </w:numPr>
        <w:spacing w:after="60"/>
      </w:pPr>
      <w:r>
        <w:t xml:space="preserve">The explanation shall be generated from structured rules rather than manually entered result text.</w:t>
      </w:r>
    </w:p>
    <w:p>
      <w:pPr>
        <w:pStyle w:val="Heading1"/>
      </w:pPr>
      <w:r>
        <w:t xml:space="preserve">7. Academic Year and Versioning</w:t>
      </w:r>
    </w:p>
    <w:p>
      <w:pPr>
        <w:spacing w:after="120"/>
      </w:pPr>
      <w:r>
        <w:t xml:space="preserve">Academic year must be a fundamental part of the programme and scholarship data model. Admission requirements and application information shall never be treated as permanently attached to a programme without an applicable cycle.</w:t>
      </w:r>
    </w:p>
    <w:p>
      <w:pPr>
        <w:pStyle w:val="Heading2"/>
      </w:pPr>
      <w:r>
        <w:t xml:space="preserve">7.1 Programme Admission Cycles</w:t>
      </w:r>
    </w:p>
    <w:p>
      <w:pPr>
        <w:pStyle w:val="ListParagraph"/>
        <w:numPr>
          <w:ilvl w:val="0"/>
          <w:numId w:val="3"/>
        </w:numPr>
        <w:spacing w:after="60"/>
      </w:pPr>
      <w:r>
        <w:t xml:space="preserve">Each programme shall support one or more admission cycles.</w:t>
      </w:r>
    </w:p>
    <w:p>
      <w:pPr>
        <w:pStyle w:val="ListParagraph"/>
        <w:numPr>
          <w:ilvl w:val="0"/>
          <w:numId w:val="3"/>
        </w:numPr>
        <w:spacing w:after="60"/>
      </w:pPr>
      <w:r>
        <w:t xml:space="preserve">Each admission cycle shall have an academic year identifier.</w:t>
      </w:r>
    </w:p>
    <w:p>
      <w:pPr>
        <w:pStyle w:val="ListParagraph"/>
        <w:numPr>
          <w:ilvl w:val="0"/>
          <w:numId w:val="3"/>
        </w:numPr>
        <w:spacing w:after="60"/>
      </w:pPr>
      <w:r>
        <w:t xml:space="preserve">Requirements shall belong to a specific admission cycle.</w:t>
      </w:r>
    </w:p>
    <w:p>
      <w:pPr>
        <w:pStyle w:val="ListParagraph"/>
        <w:numPr>
          <w:ilvl w:val="0"/>
          <w:numId w:val="3"/>
        </w:numPr>
        <w:spacing w:after="60"/>
      </w:pPr>
      <w:r>
        <w:t xml:space="preserve">Application deadlines shall belong to the applicable cycle.</w:t>
      </w:r>
    </w:p>
    <w:p>
      <w:pPr>
        <w:pStyle w:val="ListParagraph"/>
        <w:numPr>
          <w:ilvl w:val="0"/>
          <w:numId w:val="3"/>
        </w:numPr>
        <w:spacing w:after="60"/>
      </w:pPr>
      <w:r>
        <w:t xml:space="preserve">Application URLs may be versioned by cycle when necessary.</w:t>
      </w:r>
    </w:p>
    <w:p>
      <w:pPr>
        <w:pStyle w:val="Heading2"/>
      </w:pPr>
      <w:r>
        <w:t xml:space="preserve">7.2 Requirement Versioning</w:t>
      </w:r>
    </w:p>
    <w:p>
      <w:pPr>
        <w:pStyle w:val="ListParagraph"/>
        <w:numPr>
          <w:ilvl w:val="0"/>
          <w:numId w:val="3"/>
        </w:numPr>
        <w:spacing w:after="60"/>
      </w:pPr>
      <w:r>
        <w:t xml:space="preserve">The system shall preserve previous requirement versions.</w:t>
      </w:r>
    </w:p>
    <w:p>
      <w:pPr>
        <w:pStyle w:val="ListParagraph"/>
        <w:numPr>
          <w:ilvl w:val="0"/>
          <w:numId w:val="3"/>
        </w:numPr>
        <w:spacing w:after="60"/>
      </w:pPr>
      <w:r>
        <w:t xml:space="preserve">An updated requirement shall create a new version or cycle record rather than silently overwriting historical information.</w:t>
      </w:r>
    </w:p>
    <w:p>
      <w:pPr>
        <w:pStyle w:val="ListParagraph"/>
        <w:numPr>
          <w:ilvl w:val="0"/>
          <w:numId w:val="3"/>
        </w:numPr>
        <w:spacing w:after="60"/>
      </w:pPr>
      <w:r>
        <w:t xml:space="preserve">The administrator shall be able to archive old versions.</w:t>
      </w:r>
    </w:p>
    <w:p>
      <w:pPr>
        <w:pStyle w:val="ListParagraph"/>
        <w:numPr>
          <w:ilvl w:val="0"/>
          <w:numId w:val="3"/>
        </w:numPr>
        <w:spacing w:after="60"/>
      </w:pPr>
      <w:r>
        <w:t xml:space="preserve">The system shall record when a requirement was created, updated, verified and published.</w:t>
      </w:r>
    </w:p>
    <w:p>
      <w:pPr>
        <w:pStyle w:val="Heading2"/>
      </w:pPr>
      <w:r>
        <w:t xml:space="preserve">7.3 Public Academic-Year Display</w:t>
      </w:r>
    </w:p>
    <w:p>
      <w:pPr>
        <w:pStyle w:val="ListParagraph"/>
        <w:numPr>
          <w:ilvl w:val="0"/>
          <w:numId w:val="3"/>
        </w:numPr>
        <w:spacing w:after="60"/>
      </w:pPr>
      <w:r>
        <w:t xml:space="preserve">Public programme pages shall clearly display the admission/academic year to which the requirements apply.</w:t>
      </w:r>
    </w:p>
    <w:p>
      <w:pPr>
        <w:pStyle w:val="ListParagraph"/>
        <w:numPr>
          <w:ilvl w:val="0"/>
          <w:numId w:val="3"/>
        </w:numPr>
        <w:spacing w:after="60"/>
      </w:pPr>
      <w:r>
        <w:t xml:space="preserve">The system should allow users to select among published admission years when multiple years are available.</w:t>
      </w:r>
    </w:p>
    <w:p>
      <w:pPr>
        <w:pStyle w:val="Heading1"/>
      </w:pPr>
      <w:r>
        <w:t xml:space="preserve">8. Scholarship Requirements</w:t>
      </w:r>
    </w:p>
    <w:p>
      <w:pPr>
        <w:pStyle w:val="ListParagraph"/>
        <w:numPr>
          <w:ilvl w:val="0"/>
          <w:numId w:val="3"/>
        </w:numPr>
        <w:spacing w:after="60"/>
      </w:pPr>
      <w:r>
        <w:t xml:space="preserve">Scholarships shall support application cycles.</w:t>
      </w:r>
    </w:p>
    <w:p>
      <w:pPr>
        <w:pStyle w:val="ListParagraph"/>
        <w:numPr>
          <w:ilvl w:val="0"/>
          <w:numId w:val="3"/>
        </w:numPr>
        <w:spacing w:after="60"/>
      </w:pPr>
      <w:r>
        <w:t xml:space="preserve">Scholarships shall have a current status such as Draft, Published, Expired or Archived.</w:t>
      </w:r>
    </w:p>
    <w:p>
      <w:pPr>
        <w:pStyle w:val="ListParagraph"/>
        <w:numPr>
          <w:ilvl w:val="0"/>
          <w:numId w:val="3"/>
        </w:numPr>
        <w:spacing w:after="60"/>
      </w:pPr>
      <w:r>
        <w:t xml:space="preserve">Scholarships shall support eligibility rules and descriptive eligibility criteria.</w:t>
      </w:r>
    </w:p>
    <w:p>
      <w:pPr>
        <w:pStyle w:val="ListParagraph"/>
        <w:numPr>
          <w:ilvl w:val="0"/>
          <w:numId w:val="3"/>
        </w:numPr>
        <w:spacing w:after="60"/>
      </w:pPr>
      <w:r>
        <w:t xml:space="preserve">Scholarships shall support opening and closing dates.</w:t>
      </w:r>
    </w:p>
    <w:p>
      <w:pPr>
        <w:pStyle w:val="ListParagraph"/>
        <w:numPr>
          <w:ilvl w:val="0"/>
          <w:numId w:val="3"/>
        </w:numPr>
        <w:spacing w:after="60"/>
      </w:pPr>
      <w:r>
        <w:t xml:space="preserve">The system shall automatically identify expired scholarships based on configured dates where appropriate.</w:t>
      </w:r>
    </w:p>
    <w:p>
      <w:pPr>
        <w:pStyle w:val="ListParagraph"/>
        <w:numPr>
          <w:ilvl w:val="0"/>
          <w:numId w:val="3"/>
        </w:numPr>
        <w:spacing w:after="60"/>
      </w:pPr>
      <w:r>
        <w:t xml:space="preserve">Historical scholarship records shall be retained unless explicitly archived or deleted by an administrator.</w:t>
      </w:r>
    </w:p>
    <w:p>
      <w:pPr>
        <w:pStyle w:val="ListParagraph"/>
        <w:numPr>
          <w:ilvl w:val="0"/>
          <w:numId w:val="3"/>
        </w:numPr>
        <w:spacing w:after="60"/>
      </w:pPr>
      <w:r>
        <w:t xml:space="preserve">Every published scholarship should include a source and official application destination.</w:t>
      </w:r>
    </w:p>
    <w:p>
      <w:pPr>
        <w:pStyle w:val="Heading1"/>
      </w:pPr>
      <w:r>
        <w:t xml:space="preserve">9. Administration and Content Management</w:t>
      </w:r>
    </w:p>
    <w:p>
      <w:pPr>
        <w:pStyle w:val="Heading2"/>
      </w:pPr>
      <w:r>
        <w:t xml:space="preserve">9.1 Administrator Authentication</w:t>
      </w:r>
    </w:p>
    <w:p>
      <w:pPr>
        <w:pStyle w:val="ListParagraph"/>
        <w:numPr>
          <w:ilvl w:val="0"/>
          <w:numId w:val="3"/>
        </w:numPr>
        <w:spacing w:after="60"/>
      </w:pPr>
      <w:r>
        <w:t xml:space="preserve">The administrator shall authenticate before accessing management functions.</w:t>
      </w:r>
    </w:p>
    <w:p>
      <w:pPr>
        <w:pStyle w:val="ListParagraph"/>
        <w:numPr>
          <w:ilvl w:val="0"/>
          <w:numId w:val="3"/>
        </w:numPr>
        <w:spacing w:after="60"/>
      </w:pPr>
      <w:r>
        <w:t xml:space="preserve">Administrative permissions shall be protected by role-based authorization.</w:t>
      </w:r>
    </w:p>
    <w:p>
      <w:pPr>
        <w:pStyle w:val="ListParagraph"/>
        <w:numPr>
          <w:ilvl w:val="0"/>
          <w:numId w:val="3"/>
        </w:numPr>
        <w:spacing w:after="60"/>
      </w:pPr>
      <w:r>
        <w:t xml:space="preserve">Administrative actions shall be logged.</w:t>
      </w:r>
    </w:p>
    <w:p>
      <w:pPr>
        <w:pStyle w:val="ListParagraph"/>
        <w:numPr>
          <w:ilvl w:val="0"/>
          <w:numId w:val="3"/>
        </w:numPr>
        <w:spacing w:after="60"/>
      </w:pPr>
      <w:r>
        <w:t xml:space="preserve">The administrator login shall not be linked from the public navigation.</w:t>
      </w:r>
    </w:p>
    <w:p>
      <w:pPr>
        <w:pStyle w:val="Heading2"/>
      </w:pPr>
      <w:r>
        <w:t xml:space="preserve">9.2 University Management</w:t>
      </w:r>
    </w:p>
    <w:p>
      <w:pPr>
        <w:pStyle w:val="ListParagraph"/>
        <w:numPr>
          <w:ilvl w:val="0"/>
          <w:numId w:val="3"/>
        </w:numPr>
        <w:spacing w:after="60"/>
      </w:pPr>
      <w:r>
        <w:t xml:space="preserve">Create university</w:t>
      </w:r>
    </w:p>
    <w:p>
      <w:pPr>
        <w:pStyle w:val="ListParagraph"/>
        <w:numPr>
          <w:ilvl w:val="0"/>
          <w:numId w:val="3"/>
        </w:numPr>
        <w:spacing w:after="60"/>
      </w:pPr>
      <w:r>
        <w:t xml:space="preserve">Edit university</w:t>
      </w:r>
    </w:p>
    <w:p>
      <w:pPr>
        <w:pStyle w:val="ListParagraph"/>
        <w:numPr>
          <w:ilvl w:val="0"/>
          <w:numId w:val="3"/>
        </w:numPr>
        <w:spacing w:after="60"/>
      </w:pPr>
      <w:r>
        <w:t xml:space="preserve">Publish/unpublish university</w:t>
      </w:r>
    </w:p>
    <w:p>
      <w:pPr>
        <w:pStyle w:val="ListParagraph"/>
        <w:numPr>
          <w:ilvl w:val="0"/>
          <w:numId w:val="3"/>
        </w:numPr>
        <w:spacing w:after="60"/>
      </w:pPr>
      <w:r>
        <w:t xml:space="preserve">Archive university</w:t>
      </w:r>
    </w:p>
    <w:p>
      <w:pPr>
        <w:pStyle w:val="ListParagraph"/>
        <w:numPr>
          <w:ilvl w:val="0"/>
          <w:numId w:val="3"/>
        </w:numPr>
        <w:spacing w:after="60"/>
      </w:pPr>
      <w:r>
        <w:t xml:space="preserve">Manage institution type</w:t>
      </w:r>
    </w:p>
    <w:p>
      <w:pPr>
        <w:pStyle w:val="ListParagraph"/>
        <w:numPr>
          <w:ilvl w:val="0"/>
          <w:numId w:val="3"/>
        </w:numPr>
        <w:spacing w:after="60"/>
      </w:pPr>
      <w:r>
        <w:t xml:space="preserve">Manage location</w:t>
      </w:r>
    </w:p>
    <w:p>
      <w:pPr>
        <w:pStyle w:val="ListParagraph"/>
        <w:numPr>
          <w:ilvl w:val="0"/>
          <w:numId w:val="3"/>
        </w:numPr>
        <w:spacing w:after="60"/>
      </w:pPr>
      <w:r>
        <w:t xml:space="preserve">Manage official website and admissions URL</w:t>
      </w:r>
    </w:p>
    <w:p>
      <w:pPr>
        <w:pStyle w:val="ListParagraph"/>
        <w:numPr>
          <w:ilvl w:val="0"/>
          <w:numId w:val="3"/>
        </w:numPr>
        <w:spacing w:after="60"/>
      </w:pPr>
      <w:r>
        <w:t xml:space="preserve">Upload or manage institution logo</w:t>
      </w:r>
    </w:p>
    <w:p>
      <w:pPr>
        <w:pStyle w:val="Heading2"/>
      </w:pPr>
      <w:r>
        <w:t xml:space="preserve">9.3 Programme Management</w:t>
      </w:r>
    </w:p>
    <w:p>
      <w:pPr>
        <w:pStyle w:val="ListParagraph"/>
        <w:numPr>
          <w:ilvl w:val="0"/>
          <w:numId w:val="3"/>
        </w:numPr>
        <w:spacing w:after="60"/>
      </w:pPr>
      <w:r>
        <w:t xml:space="preserve">Create programme</w:t>
      </w:r>
    </w:p>
    <w:p>
      <w:pPr>
        <w:pStyle w:val="ListParagraph"/>
        <w:numPr>
          <w:ilvl w:val="0"/>
          <w:numId w:val="3"/>
        </w:numPr>
        <w:spacing w:after="60"/>
      </w:pPr>
      <w:r>
        <w:t xml:space="preserve">Edit programme</w:t>
      </w:r>
    </w:p>
    <w:p>
      <w:pPr>
        <w:pStyle w:val="ListParagraph"/>
        <w:numPr>
          <w:ilvl w:val="0"/>
          <w:numId w:val="3"/>
        </w:numPr>
        <w:spacing w:after="60"/>
      </w:pPr>
      <w:r>
        <w:t xml:space="preserve">Assign programme to a university</w:t>
      </w:r>
    </w:p>
    <w:p>
      <w:pPr>
        <w:pStyle w:val="ListParagraph"/>
        <w:numPr>
          <w:ilvl w:val="0"/>
          <w:numId w:val="3"/>
        </w:numPr>
        <w:spacing w:after="60"/>
      </w:pPr>
      <w:r>
        <w:t xml:space="preserve">Assign faculty/school where applicable</w:t>
      </w:r>
    </w:p>
    <w:p>
      <w:pPr>
        <w:pStyle w:val="ListParagraph"/>
        <w:numPr>
          <w:ilvl w:val="0"/>
          <w:numId w:val="3"/>
        </w:numPr>
        <w:spacing w:after="60"/>
      </w:pPr>
      <w:r>
        <w:t xml:space="preserve">Manage degree type and duration</w:t>
      </w:r>
    </w:p>
    <w:p>
      <w:pPr>
        <w:pStyle w:val="ListParagraph"/>
        <w:numPr>
          <w:ilvl w:val="0"/>
          <w:numId w:val="3"/>
        </w:numPr>
        <w:spacing w:after="60"/>
      </w:pPr>
      <w:r>
        <w:t xml:space="preserve">Create admission cycle</w:t>
      </w:r>
    </w:p>
    <w:p>
      <w:pPr>
        <w:pStyle w:val="ListParagraph"/>
        <w:numPr>
          <w:ilvl w:val="0"/>
          <w:numId w:val="3"/>
        </w:numPr>
        <w:spacing w:after="60"/>
      </w:pPr>
      <w:r>
        <w:t xml:space="preserve">Configure requirements</w:t>
      </w:r>
    </w:p>
    <w:p>
      <w:pPr>
        <w:pStyle w:val="ListParagraph"/>
        <w:numPr>
          <w:ilvl w:val="0"/>
          <w:numId w:val="3"/>
        </w:numPr>
        <w:spacing w:after="60"/>
      </w:pPr>
      <w:r>
        <w:t xml:space="preserve">Manage application deadline and official URL</w:t>
      </w:r>
    </w:p>
    <w:p>
      <w:pPr>
        <w:pStyle w:val="ListParagraph"/>
        <w:numPr>
          <w:ilvl w:val="0"/>
          <w:numId w:val="3"/>
        </w:numPr>
        <w:spacing w:after="60"/>
      </w:pPr>
      <w:r>
        <w:t xml:space="preserve">Publish, unpublish or archive programme</w:t>
      </w:r>
    </w:p>
    <w:p>
      <w:pPr>
        <w:pStyle w:val="Heading2"/>
      </w:pPr>
      <w:r>
        <w:t xml:space="preserve">9.4 Subject and Grade Management</w:t>
      </w:r>
    </w:p>
    <w:p>
      <w:pPr>
        <w:pStyle w:val="ListParagraph"/>
        <w:numPr>
          <w:ilvl w:val="0"/>
          <w:numId w:val="3"/>
        </w:numPr>
        <w:spacing w:after="60"/>
      </w:pPr>
      <w:r>
        <w:t xml:space="preserve">Create and edit subjects</w:t>
      </w:r>
    </w:p>
    <w:p>
      <w:pPr>
        <w:pStyle w:val="ListParagraph"/>
        <w:numPr>
          <w:ilvl w:val="0"/>
          <w:numId w:val="3"/>
        </w:numPr>
        <w:spacing w:after="60"/>
      </w:pPr>
      <w:r>
        <w:t xml:space="preserve">Define core/elective classification</w:t>
      </w:r>
    </w:p>
    <w:p>
      <w:pPr>
        <w:pStyle w:val="ListParagraph"/>
        <w:numPr>
          <w:ilvl w:val="0"/>
          <w:numId w:val="3"/>
        </w:numPr>
        <w:spacing w:after="60"/>
      </w:pPr>
      <w:r>
        <w:t xml:space="preserve">Manage grade catalogue</w:t>
      </w:r>
    </w:p>
    <w:p>
      <w:pPr>
        <w:pStyle w:val="ListParagraph"/>
        <w:numPr>
          <w:ilvl w:val="0"/>
          <w:numId w:val="3"/>
        </w:numPr>
        <w:spacing w:after="60"/>
      </w:pPr>
      <w:r>
        <w:t xml:space="preserve">Manage grade ordering</w:t>
      </w:r>
    </w:p>
    <w:p>
      <w:pPr>
        <w:pStyle w:val="ListParagraph"/>
        <w:numPr>
          <w:ilvl w:val="0"/>
          <w:numId w:val="3"/>
        </w:numPr>
        <w:spacing w:after="60"/>
      </w:pPr>
      <w:r>
        <w:t xml:space="preserve">Maintain subject aliases where needed</w:t>
      </w:r>
    </w:p>
    <w:p>
      <w:pPr>
        <w:pStyle w:val="Heading2"/>
      </w:pPr>
      <w:r>
        <w:t xml:space="preserve">9.5 Scholarship Management</w:t>
      </w:r>
    </w:p>
    <w:p>
      <w:pPr>
        <w:pStyle w:val="ListParagraph"/>
        <w:numPr>
          <w:ilvl w:val="0"/>
          <w:numId w:val="3"/>
        </w:numPr>
        <w:spacing w:after="60"/>
      </w:pPr>
      <w:r>
        <w:t xml:space="preserve">Create scholarship</w:t>
      </w:r>
    </w:p>
    <w:p>
      <w:pPr>
        <w:pStyle w:val="ListParagraph"/>
        <w:numPr>
          <w:ilvl w:val="0"/>
          <w:numId w:val="3"/>
        </w:numPr>
        <w:spacing w:after="60"/>
      </w:pPr>
      <w:r>
        <w:t xml:space="preserve">Edit scholarship</w:t>
      </w:r>
    </w:p>
    <w:p>
      <w:pPr>
        <w:pStyle w:val="ListParagraph"/>
        <w:numPr>
          <w:ilvl w:val="0"/>
          <w:numId w:val="3"/>
        </w:numPr>
        <w:spacing w:after="60"/>
      </w:pPr>
      <w:r>
        <w:t xml:space="preserve">Manage provider information</w:t>
      </w:r>
    </w:p>
    <w:p>
      <w:pPr>
        <w:pStyle w:val="ListParagraph"/>
        <w:numPr>
          <w:ilvl w:val="0"/>
          <w:numId w:val="3"/>
        </w:numPr>
        <w:spacing w:after="60"/>
      </w:pPr>
      <w:r>
        <w:t xml:space="preserve">Manage eligibility criteria</w:t>
      </w:r>
    </w:p>
    <w:p>
      <w:pPr>
        <w:pStyle w:val="ListParagraph"/>
        <w:numPr>
          <w:ilvl w:val="0"/>
          <w:numId w:val="3"/>
        </w:numPr>
        <w:spacing w:after="60"/>
      </w:pPr>
      <w:r>
        <w:t xml:space="preserve">Manage coverage</w:t>
      </w:r>
    </w:p>
    <w:p>
      <w:pPr>
        <w:pStyle w:val="ListParagraph"/>
        <w:numPr>
          <w:ilvl w:val="0"/>
          <w:numId w:val="3"/>
        </w:numPr>
        <w:spacing w:after="60"/>
      </w:pPr>
      <w:r>
        <w:t xml:space="preserve">Manage opening and closing dates</w:t>
      </w:r>
    </w:p>
    <w:p>
      <w:pPr>
        <w:pStyle w:val="ListParagraph"/>
        <w:numPr>
          <w:ilvl w:val="0"/>
          <w:numId w:val="3"/>
        </w:numPr>
        <w:spacing w:after="60"/>
      </w:pPr>
      <w:r>
        <w:t xml:space="preserve">Manage official application URL</w:t>
      </w:r>
    </w:p>
    <w:p>
      <w:pPr>
        <w:pStyle w:val="ListParagraph"/>
        <w:numPr>
          <w:ilvl w:val="0"/>
          <w:numId w:val="3"/>
        </w:numPr>
        <w:spacing w:after="60"/>
      </w:pPr>
      <w:r>
        <w:t xml:space="preserve">Publish, expire or archive scholarship</w:t>
      </w:r>
    </w:p>
    <w:p>
      <w:pPr>
        <w:pStyle w:val="Heading2"/>
      </w:pPr>
      <w:r>
        <w:t xml:space="preserve">9.6 Publishing Workflow</w:t>
      </w:r>
    </w:p>
    <w:p>
      <w:pPr>
        <w:pStyle w:val="ListParagraph"/>
        <w:numPr>
          <w:ilvl w:val="0"/>
          <w:numId w:val="3"/>
        </w:numPr>
        <w:spacing w:after="60"/>
      </w:pPr>
      <w:r>
        <w:t xml:space="preserve">The system shall support Draft, Review/Needs Verification, Verified and Published states for information requiring verification.</w:t>
      </w:r>
    </w:p>
    <w:p>
      <w:pPr>
        <w:pStyle w:val="ListParagraph"/>
        <w:numPr>
          <w:ilvl w:val="0"/>
          <w:numId w:val="3"/>
        </w:numPr>
        <w:spacing w:after="60"/>
      </w:pPr>
      <w:r>
        <w:t xml:space="preserve">Only published records shall be visible in normal public search results.</w:t>
      </w:r>
    </w:p>
    <w:p>
      <w:pPr>
        <w:pStyle w:val="ListParagraph"/>
        <w:numPr>
          <w:ilvl w:val="0"/>
          <w:numId w:val="3"/>
        </w:numPr>
        <w:spacing w:after="60"/>
      </w:pPr>
      <w:r>
        <w:t xml:space="preserve">Administrators shall be able to unpublish a record without deleting it.</w:t>
      </w:r>
    </w:p>
    <w:p>
      <w:pPr>
        <w:pStyle w:val="Heading2"/>
      </w:pPr>
      <w:r>
        <w:t xml:space="preserve">9.7 Mentor and Booking Management</w:t>
      </w:r>
    </w:p>
    <w:p>
      <w:pPr>
        <w:spacing w:after="120"/>
      </w:pPr>
      <w:r>
        <w:t xml:space="preserve">Mentor and booking administration requirements are defined in Section 21.4.</w:t>
      </w:r>
    </w:p>
    <w:p>
      <w:pPr>
        <w:pStyle w:val="Heading1"/>
      </w:pPr>
      <w:r>
        <w:t xml:space="preserve">10. Data Verification and Trust</w:t>
      </w:r>
    </w:p>
    <w:p>
      <w:pPr>
        <w:pStyle w:val="ListParagraph"/>
        <w:numPr>
          <w:ilvl w:val="0"/>
          <w:numId w:val="3"/>
        </w:numPr>
        <w:spacing w:after="60"/>
      </w:pPr>
      <w:r>
        <w:t xml:space="preserve">Every published programme requirement should have a source record.</w:t>
      </w:r>
    </w:p>
    <w:p>
      <w:pPr>
        <w:pStyle w:val="ListParagraph"/>
        <w:numPr>
          <w:ilvl w:val="0"/>
          <w:numId w:val="3"/>
        </w:numPr>
        <w:spacing w:after="60"/>
      </w:pPr>
      <w:r>
        <w:t xml:space="preserve">The source should identify the official institution/provider source where available.</w:t>
      </w:r>
    </w:p>
    <w:p>
      <w:pPr>
        <w:pStyle w:val="ListParagraph"/>
        <w:numPr>
          <w:ilvl w:val="0"/>
          <w:numId w:val="3"/>
        </w:numPr>
        <w:spacing w:after="60"/>
      </w:pPr>
      <w:r>
        <w:t xml:space="preserve">The system shall store the source URL when available.</w:t>
      </w:r>
    </w:p>
    <w:p>
      <w:pPr>
        <w:pStyle w:val="ListParagraph"/>
        <w:numPr>
          <w:ilvl w:val="0"/>
          <w:numId w:val="3"/>
        </w:numPr>
        <w:spacing w:after="60"/>
      </w:pPr>
      <w:r>
        <w:t xml:space="preserve">The system shall store the academic year associated with the source.</w:t>
      </w:r>
    </w:p>
    <w:p>
      <w:pPr>
        <w:pStyle w:val="ListParagraph"/>
        <w:numPr>
          <w:ilvl w:val="0"/>
          <w:numId w:val="3"/>
        </w:numPr>
        <w:spacing w:after="60"/>
      </w:pPr>
      <w:r>
        <w:t xml:space="preserve">The system shall store the last verification date.</w:t>
      </w:r>
    </w:p>
    <w:p>
      <w:pPr>
        <w:pStyle w:val="ListParagraph"/>
        <w:numPr>
          <w:ilvl w:val="0"/>
          <w:numId w:val="3"/>
        </w:numPr>
        <w:spacing w:after="60"/>
      </w:pPr>
      <w:r>
        <w:t xml:space="preserve">The system should store the administrator responsible for verification.</w:t>
      </w:r>
    </w:p>
    <w:p>
      <w:pPr>
        <w:pStyle w:val="ListParagraph"/>
        <w:numPr>
          <w:ilvl w:val="0"/>
          <w:numId w:val="3"/>
        </w:numPr>
        <w:spacing w:after="60"/>
      </w:pPr>
      <w:r>
        <w:t xml:space="preserve">The system shall support a verification status.</w:t>
      </w:r>
    </w:p>
    <w:p>
      <w:pPr>
        <w:pStyle w:val="ListParagraph"/>
        <w:numPr>
          <w:ilvl w:val="0"/>
          <w:numId w:val="3"/>
        </w:numPr>
        <w:spacing w:after="60"/>
      </w:pPr>
      <w:r>
        <w:t xml:space="preserve">The system shall allow administrators to identify stale information requiring review.</w:t>
      </w:r>
    </w:p>
    <w:p>
      <w:pPr>
        <w:pStyle w:val="ListParagraph"/>
        <w:numPr>
          <w:ilvl w:val="0"/>
          <w:numId w:val="3"/>
        </w:numPr>
        <w:spacing w:after="60"/>
      </w:pPr>
      <w:r>
        <w:t xml:space="preserve">The public interface should display a concise 'verified on' and source indicator for admission and scholarship information.</w:t>
      </w:r>
    </w:p>
    <w:p>
      <w:pPr>
        <w:pStyle w:val="Heading2"/>
      </w:pPr>
      <w:r>
        <w:t xml:space="preserve">10.1 User Reporting</w:t>
      </w:r>
    </w:p>
    <w:p>
      <w:pPr>
        <w:pStyle w:val="ListParagraph"/>
        <w:numPr>
          <w:ilvl w:val="0"/>
          <w:numId w:val="3"/>
        </w:numPr>
        <w:spacing w:after="60"/>
      </w:pPr>
      <w:r>
        <w:t xml:space="preserve">Users should be able to report potentially incorrect or outdated information.</w:t>
      </w:r>
    </w:p>
    <w:p>
      <w:pPr>
        <w:pStyle w:val="ListParagraph"/>
        <w:numPr>
          <w:ilvl w:val="0"/>
          <w:numId w:val="3"/>
        </w:numPr>
        <w:spacing w:after="60"/>
      </w:pPr>
      <w:r>
        <w:t xml:space="preserve">Reports should be visible to administrators.</w:t>
      </w:r>
    </w:p>
    <w:p>
      <w:pPr>
        <w:pStyle w:val="ListParagraph"/>
        <w:numPr>
          <w:ilvl w:val="0"/>
          <w:numId w:val="3"/>
        </w:numPr>
        <w:spacing w:after="60"/>
      </w:pPr>
      <w:r>
        <w:t xml:space="preserve">Administrators should be able to mark reports as Open, Under Review, Resolved or Dismissed.</w:t>
      </w:r>
    </w:p>
    <w:p>
      <w:pPr>
        <w:pStyle w:val="Heading1"/>
      </w:pPr>
      <w:r>
        <w:t xml:space="preserve">11. Public User Experience and Visual Design</w:t>
      </w:r>
    </w:p>
    <w:p>
      <w:pPr>
        <w:pStyle w:val="Heading2"/>
      </w:pPr>
      <w:r>
        <w:t xml:space="preserve">11.1 Primary User Journey</w:t>
      </w:r>
    </w:p>
    <w:p>
      <w:pPr>
        <w:pStyle w:val="ListParagraph"/>
        <w:numPr>
          <w:ilvl w:val="0"/>
          <w:numId w:val="4"/>
        </w:numPr>
        <w:spacing w:after="60"/>
      </w:pPr>
      <w:r>
        <w:t xml:space="preserve">User visits the homepage.</w:t>
      </w:r>
    </w:p>
    <w:p>
      <w:pPr>
        <w:pStyle w:val="ListParagraph"/>
        <w:numPr>
          <w:ilvl w:val="0"/>
          <w:numId w:val="4"/>
        </w:numPr>
        <w:spacing w:after="60"/>
      </w:pPr>
      <w:r>
        <w:t xml:space="preserve">User selects 'Check Eligibility'.</w:t>
      </w:r>
    </w:p>
    <w:p>
      <w:pPr>
        <w:pStyle w:val="ListParagraph"/>
        <w:numPr>
          <w:ilvl w:val="0"/>
          <w:numId w:val="4"/>
        </w:numPr>
        <w:spacing w:after="60"/>
      </w:pPr>
      <w:r>
        <w:t xml:space="preserve">User enters WASSCE results.</w:t>
      </w:r>
    </w:p>
    <w:p>
      <w:pPr>
        <w:pStyle w:val="ListParagraph"/>
        <w:numPr>
          <w:ilvl w:val="0"/>
          <w:numId w:val="4"/>
        </w:numPr>
        <w:spacing w:after="60"/>
      </w:pPr>
      <w:r>
        <w:t xml:space="preserve">User optionally selects interests or filters.</w:t>
      </w:r>
    </w:p>
    <w:p>
      <w:pPr>
        <w:pStyle w:val="ListParagraph"/>
        <w:numPr>
          <w:ilvl w:val="0"/>
          <w:numId w:val="4"/>
        </w:numPr>
        <w:spacing w:after="60"/>
      </w:pPr>
      <w:r>
        <w:t xml:space="preserve">System evaluates results against published programme requirements.</w:t>
      </w:r>
    </w:p>
    <w:p>
      <w:pPr>
        <w:pStyle w:val="ListParagraph"/>
        <w:numPr>
          <w:ilvl w:val="0"/>
          <w:numId w:val="4"/>
        </w:numPr>
        <w:spacing w:after="60"/>
      </w:pPr>
      <w:r>
        <w:t xml:space="preserve">System displays eligible, likely eligible, needs-review and/or not-eligible results.</w:t>
      </w:r>
    </w:p>
    <w:p>
      <w:pPr>
        <w:pStyle w:val="ListParagraph"/>
        <w:numPr>
          <w:ilvl w:val="0"/>
          <w:numId w:val="4"/>
        </w:numPr>
        <w:spacing w:after="60"/>
      </w:pPr>
      <w:r>
        <w:t xml:space="preserve">User opens a programme to view the detailed requirement comparison.</w:t>
      </w:r>
    </w:p>
    <w:p>
      <w:pPr>
        <w:pStyle w:val="ListParagraph"/>
        <w:numPr>
          <w:ilvl w:val="0"/>
          <w:numId w:val="4"/>
        </w:numPr>
        <w:spacing w:after="60"/>
      </w:pPr>
      <w:r>
        <w:t xml:space="preserve">User may follow the official application link.</w:t>
      </w:r>
    </w:p>
    <w:p>
      <w:pPr>
        <w:pStyle w:val="ListParagraph"/>
        <w:numPr>
          <w:ilvl w:val="0"/>
          <w:numId w:val="4"/>
        </w:numPr>
        <w:spacing w:after="60"/>
      </w:pPr>
      <w:r>
        <w:t xml:space="preserve">User may return to search programmes, explore scholarships, or find a mentor.</w:t>
      </w:r>
    </w:p>
    <w:p>
      <w:pPr>
        <w:pStyle w:val="Heading2"/>
      </w:pPr>
      <w:r>
        <w:t xml:space="preserve">11.2 Alternative Programme Discovery</w:t>
      </w:r>
    </w:p>
    <w:p>
      <w:pPr>
        <w:spacing w:after="120"/>
      </w:pPr>
      <w:r>
        <w:t xml:space="preserve">When a programme does not match the student's results, the system may display other programmes that satisfy the student's entered results. Alternatives shall be presented as options to explore rather than as claims about the student's objectively best career choice.</w:t>
      </w:r>
    </w:p>
    <w:p>
      <w:pPr>
        <w:pStyle w:val="Heading2"/>
      </w:pPr>
      <w:r>
        <w:t xml:space="preserve">11.3 Search and Filtering</w:t>
      </w:r>
    </w:p>
    <w:p>
      <w:pPr>
        <w:pStyle w:val="ListParagraph"/>
        <w:numPr>
          <w:ilvl w:val="0"/>
          <w:numId w:val="3"/>
        </w:numPr>
        <w:spacing w:after="60"/>
      </w:pPr>
      <w:r>
        <w:t xml:space="preserve">Search shall be tolerant of common spelling and naming variations where practical.</w:t>
      </w:r>
    </w:p>
    <w:p>
      <w:pPr>
        <w:pStyle w:val="ListParagraph"/>
        <w:numPr>
          <w:ilvl w:val="0"/>
          <w:numId w:val="3"/>
        </w:numPr>
        <w:spacing w:after="60"/>
      </w:pPr>
      <w:r>
        <w:t xml:space="preserve">Filters shall be combinable.</w:t>
      </w:r>
    </w:p>
    <w:p>
      <w:pPr>
        <w:pStyle w:val="ListParagraph"/>
        <w:numPr>
          <w:ilvl w:val="0"/>
          <w:numId w:val="3"/>
        </w:numPr>
        <w:spacing w:after="60"/>
      </w:pPr>
      <w:r>
        <w:t xml:space="preserve">Users shall be able to clear filters easily.</w:t>
      </w:r>
    </w:p>
    <w:p>
      <w:pPr>
        <w:pStyle w:val="ListParagraph"/>
        <w:numPr>
          <w:ilvl w:val="0"/>
          <w:numId w:val="3"/>
        </w:numPr>
        <w:spacing w:after="60"/>
      </w:pPr>
      <w:r>
        <w:t xml:space="preserve">Empty states shall explain when no results match.</w:t>
      </w:r>
    </w:p>
    <w:p>
      <w:pPr>
        <w:pStyle w:val="Heading2"/>
      </w:pPr>
      <w:r>
        <w:t xml:space="preserve">11.4 Navigation</w:t>
      </w:r>
    </w:p>
    <w:p>
      <w:pPr>
        <w:spacing w:after="120"/>
      </w:pPr>
      <w:r>
        <w:t xml:space="preserve">The public site shall provide a persistent top navigation bar containing the platform logo and five items, in the following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000"/>
        <w:gridCol w:w="3226"/>
      </w:tblGrid>
      <w:tr>
        <w:trPr>
          <w:tblHeader/>
        </w:trPr>
        <w:tc>
          <w:tcPr>
            <w:tcW w:type="dxa" w:w="600"/>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w:t>
            </w:r>
          </w:p>
        </w:tc>
        <w:tc>
          <w:tcPr>
            <w:tcW w:type="dxa" w:w="2200"/>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Item</w:t>
            </w:r>
          </w:p>
        </w:tc>
        <w:tc>
          <w:tcPr>
            <w:tcW w:type="dxa" w:w="3000"/>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Destination</w:t>
            </w:r>
          </w:p>
        </w:tc>
        <w:tc>
          <w:tcPr>
            <w:tcW w:type="dxa" w:w="3226"/>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Treatment</w:t>
            </w:r>
          </w:p>
        </w:tc>
      </w:tr>
      <w:tr>
        <w:tc>
          <w:tcPr>
            <w:tcW w:type="dxa" w:w="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1</w:t>
            </w:r>
          </w:p>
        </w:tc>
        <w:tc>
          <w:tcPr>
            <w:tcW w:type="dxa" w:w="2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Programmes</w:t>
            </w:r>
          </w:p>
        </w:tc>
        <w:tc>
          <w:tcPr>
            <w:tcW w:type="dxa" w:w="3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Programme search</w:t>
            </w:r>
          </w:p>
        </w:tc>
        <w:tc>
          <w:tcPr>
            <w:tcW w:type="dxa" w:w="32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Standard link</w:t>
            </w:r>
          </w:p>
        </w:tc>
      </w:tr>
      <w:tr>
        <w:tc>
          <w:tcPr>
            <w:tcW w:type="dxa" w:w="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2</w:t>
            </w:r>
          </w:p>
        </w:tc>
        <w:tc>
          <w:tcPr>
            <w:tcW w:type="dxa" w:w="2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Universities</w:t>
            </w:r>
          </w:p>
        </w:tc>
        <w:tc>
          <w:tcPr>
            <w:tcW w:type="dxa" w:w="3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University directory</w:t>
            </w:r>
          </w:p>
        </w:tc>
        <w:tc>
          <w:tcPr>
            <w:tcW w:type="dxa" w:w="32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Standard link</w:t>
            </w:r>
          </w:p>
        </w:tc>
      </w:tr>
      <w:tr>
        <w:tc>
          <w:tcPr>
            <w:tcW w:type="dxa" w:w="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3</w:t>
            </w:r>
          </w:p>
        </w:tc>
        <w:tc>
          <w:tcPr>
            <w:tcW w:type="dxa" w:w="2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Scholarships</w:t>
            </w:r>
          </w:p>
        </w:tc>
        <w:tc>
          <w:tcPr>
            <w:tcW w:type="dxa" w:w="3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Scholarship search</w:t>
            </w:r>
          </w:p>
        </w:tc>
        <w:tc>
          <w:tcPr>
            <w:tcW w:type="dxa" w:w="32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Standard link</w:t>
            </w:r>
          </w:p>
        </w:tc>
      </w:tr>
      <w:tr>
        <w:tc>
          <w:tcPr>
            <w:tcW w:type="dxa" w:w="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4</w:t>
            </w:r>
          </w:p>
        </w:tc>
        <w:tc>
          <w:tcPr>
            <w:tcW w:type="dxa" w:w="2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Find a Mentor</w:t>
            </w:r>
          </w:p>
        </w:tc>
        <w:tc>
          <w:tcPr>
            <w:tcW w:type="dxa" w:w="3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Mentor directory</w:t>
            </w:r>
          </w:p>
        </w:tc>
        <w:tc>
          <w:tcPr>
            <w:tcW w:type="dxa" w:w="32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Standard link</w:t>
            </w:r>
          </w:p>
        </w:tc>
      </w:tr>
      <w:tr>
        <w:tc>
          <w:tcPr>
            <w:tcW w:type="dxa" w:w="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5</w:t>
            </w:r>
          </w:p>
        </w:tc>
        <w:tc>
          <w:tcPr>
            <w:tcW w:type="dxa" w:w="2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Check Eligibility</w:t>
            </w:r>
          </w:p>
        </w:tc>
        <w:tc>
          <w:tcPr>
            <w:tcW w:type="dxa" w:w="3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WASSCE results entry</w:t>
            </w:r>
          </w:p>
        </w:tc>
        <w:tc>
          <w:tcPr>
            <w:tcW w:type="dxa" w:w="32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Primary call-to-action button</w:t>
            </w:r>
          </w:p>
        </w:tc>
      </w:tr>
    </w:tbl>
    <w:p>
      <w:pPr>
        <w:spacing w:after="120"/>
      </w:pPr>
    </w:p>
    <w:p>
      <w:pPr>
        <w:pStyle w:val="ListParagraph"/>
        <w:numPr>
          <w:ilvl w:val="0"/>
          <w:numId w:val="3"/>
        </w:numPr>
        <w:spacing w:after="60"/>
      </w:pPr>
      <w:r>
        <w:t xml:space="preserve">The logo shall link to the homepage; a separate Home link is not required.</w:t>
      </w:r>
    </w:p>
    <w:p>
      <w:pPr>
        <w:pStyle w:val="ListParagraph"/>
        <w:numPr>
          <w:ilvl w:val="0"/>
          <w:numId w:val="3"/>
        </w:numPr>
        <w:spacing w:after="60"/>
      </w:pPr>
      <w:r>
        <w:t xml:space="preserve">The administrator login shall not appear in the public navigation.</w:t>
      </w:r>
    </w:p>
    <w:p>
      <w:pPr>
        <w:pStyle w:val="ListParagraph"/>
        <w:numPr>
          <w:ilvl w:val="0"/>
          <w:numId w:val="3"/>
        </w:numPr>
        <w:spacing w:after="60"/>
      </w:pPr>
      <w:r>
        <w:t xml:space="preserve">About, disclaimer and contact information shall be placed in the footer.</w:t>
      </w:r>
    </w:p>
    <w:p>
      <w:pPr>
        <w:pStyle w:val="ListParagraph"/>
        <w:numPr>
          <w:ilvl w:val="0"/>
          <w:numId w:val="3"/>
        </w:numPr>
        <w:spacing w:after="60"/>
      </w:pPr>
      <w:r>
        <w:t xml:space="preserve">On mobile devices, navigation links shall collapse into a menu while 'Check Eligibility' remains visible.</w:t>
      </w:r>
    </w:p>
    <w:p>
      <w:pPr>
        <w:pStyle w:val="ListParagraph"/>
        <w:numPr>
          <w:ilvl w:val="0"/>
          <w:numId w:val="3"/>
        </w:numPr>
        <w:spacing w:after="60"/>
      </w:pPr>
      <w:r>
        <w:t xml:space="preserve">'Report incorrect information' shall be placed on individual programme and scholarship pages rather than in the navigation.</w:t>
      </w:r>
    </w:p>
    <w:p>
      <w:pPr>
        <w:pStyle w:val="Heading2"/>
      </w:pPr>
      <w:r>
        <w:t xml:space="preserve">11.5 Colour Palette</w:t>
      </w:r>
    </w:p>
    <w:p>
      <w:pPr>
        <w:spacing w:after="120"/>
      </w:pPr>
      <w:r>
        <w:t xml:space="preserve">The visual identity shall use blue, green and white, with red reserved for negative outcomes and errors. Colours shall be implemented as configurable design tokens rather than hard-coded values in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400"/>
        <w:gridCol w:w="4926"/>
      </w:tblGrid>
      <w:tr>
        <w:trPr>
          <w:tblHeader/>
        </w:trPr>
        <w:tc>
          <w:tcPr>
            <w:tcW w:type="dxa" w:w="1100"/>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Swatch</w:t>
            </w:r>
          </w:p>
        </w:tc>
        <w:tc>
          <w:tcPr>
            <w:tcW w:type="dxa" w:w="1600"/>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Token</w:t>
            </w:r>
          </w:p>
        </w:tc>
        <w:tc>
          <w:tcPr>
            <w:tcW w:type="dxa" w:w="1400"/>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Hex</w:t>
            </w:r>
          </w:p>
        </w:tc>
        <w:tc>
          <w:tcPr>
            <w:tcW w:type="dxa" w:w="4926"/>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Primary Use</w:t>
            </w:r>
          </w:p>
        </w:tc>
      </w:tr>
      <w:tr>
        <w:tc>
          <w:tcPr>
            <w:tcW w:type="dxa" w:w="1100"/>
            <w:tcBorders>
              <w:top w:val="single" w:color="BFC8D6" w:sz="4"/>
              <w:left w:val="single" w:color="BFC8D6" w:sz="4"/>
              <w:bottom w:val="single" w:color="BFC8D6" w:sz="4"/>
              <w:right w:val="single" w:color="BFC8D6" w:sz="4"/>
            </w:tcBorders>
            <w:shd w:fill="EFF6FF" w:color="auto" w:val="clear"/>
            <w:tcMar>
              <w:top w:type="dxa" w:w="80"/>
              <w:left w:type="dxa" w:w="120"/>
              <w:bottom w:type="dxa" w:w="80"/>
              <w:right w:type="dxa" w:w="120"/>
            </w:tcMar>
          </w:tcPr>
          <w:p/>
        </w:tc>
        <w:tc>
          <w:tcPr>
            <w:tcW w:type="dxa" w:w="1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blue-50</w:t>
            </w:r>
          </w:p>
        </w:tc>
        <w:tc>
          <w:tcPr>
            <w:tcW w:type="dxa" w:w="14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#EFF6FF</w:t>
            </w:r>
          </w:p>
        </w:tc>
        <w:tc>
          <w:tcPr>
            <w:tcW w:type="dxa" w:w="4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Information panels, section backgrounds</w:t>
            </w:r>
          </w:p>
        </w:tc>
      </w:tr>
      <w:tr>
        <w:tc>
          <w:tcPr>
            <w:tcW w:type="dxa" w:w="1100"/>
            <w:tcBorders>
              <w:top w:val="single" w:color="BFC8D6" w:sz="4"/>
              <w:left w:val="single" w:color="BFC8D6" w:sz="4"/>
              <w:bottom w:val="single" w:color="BFC8D6" w:sz="4"/>
              <w:right w:val="single" w:color="BFC8D6" w:sz="4"/>
            </w:tcBorders>
            <w:shd w:fill="DBEAFE" w:color="auto" w:val="clear"/>
            <w:tcMar>
              <w:top w:type="dxa" w:w="80"/>
              <w:left w:type="dxa" w:w="120"/>
              <w:bottom w:type="dxa" w:w="80"/>
              <w:right w:type="dxa" w:w="120"/>
            </w:tcMar>
          </w:tcPr>
          <w:p/>
        </w:tc>
        <w:tc>
          <w:tcPr>
            <w:tcW w:type="dxa" w:w="1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blue-100</w:t>
            </w:r>
          </w:p>
        </w:tc>
        <w:tc>
          <w:tcPr>
            <w:tcW w:type="dxa" w:w="14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#DBEAFE</w:t>
            </w:r>
          </w:p>
        </w:tc>
        <w:tc>
          <w:tcPr>
            <w:tcW w:type="dxa" w:w="4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Needs Review badge background</w:t>
            </w:r>
          </w:p>
        </w:tc>
      </w:tr>
      <w:tr>
        <w:tc>
          <w:tcPr>
            <w:tcW w:type="dxa" w:w="1100"/>
            <w:tcBorders>
              <w:top w:val="single" w:color="BFC8D6" w:sz="4"/>
              <w:left w:val="single" w:color="BFC8D6" w:sz="4"/>
              <w:bottom w:val="single" w:color="BFC8D6" w:sz="4"/>
              <w:right w:val="single" w:color="BFC8D6" w:sz="4"/>
            </w:tcBorders>
            <w:shd w:fill="93C5FD" w:color="auto" w:val="clear"/>
            <w:tcMar>
              <w:top w:type="dxa" w:w="80"/>
              <w:left w:type="dxa" w:w="120"/>
              <w:bottom w:type="dxa" w:w="80"/>
              <w:right w:type="dxa" w:w="120"/>
            </w:tcMar>
          </w:tcPr>
          <w:p/>
        </w:tc>
        <w:tc>
          <w:tcPr>
            <w:tcW w:type="dxa" w:w="1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blue-300</w:t>
            </w:r>
          </w:p>
        </w:tc>
        <w:tc>
          <w:tcPr>
            <w:tcW w:type="dxa" w:w="14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#93C5FD</w:t>
            </w:r>
          </w:p>
        </w:tc>
        <w:tc>
          <w:tcPr>
            <w:tcW w:type="dxa" w:w="4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Borders, dividers</w:t>
            </w:r>
          </w:p>
        </w:tc>
      </w:tr>
      <w:tr>
        <w:tc>
          <w:tcPr>
            <w:tcW w:type="dxa" w:w="1100"/>
            <w:tcBorders>
              <w:top w:val="single" w:color="BFC8D6" w:sz="4"/>
              <w:left w:val="single" w:color="BFC8D6" w:sz="4"/>
              <w:bottom w:val="single" w:color="BFC8D6" w:sz="4"/>
              <w:right w:val="single" w:color="BFC8D6" w:sz="4"/>
            </w:tcBorders>
            <w:shd w:fill="3B82F6" w:color="auto" w:val="clear"/>
            <w:tcMar>
              <w:top w:type="dxa" w:w="80"/>
              <w:left w:type="dxa" w:w="120"/>
              <w:bottom w:type="dxa" w:w="80"/>
              <w:right w:type="dxa" w:w="120"/>
            </w:tcMar>
          </w:tcPr>
          <w:p/>
        </w:tc>
        <w:tc>
          <w:tcPr>
            <w:tcW w:type="dxa" w:w="1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blue-500</w:t>
            </w:r>
          </w:p>
        </w:tc>
        <w:tc>
          <w:tcPr>
            <w:tcW w:type="dxa" w:w="14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#3B82F6</w:t>
            </w:r>
          </w:p>
        </w:tc>
        <w:tc>
          <w:tcPr>
            <w:tcW w:type="dxa" w:w="4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Icons, highlights</w:t>
            </w:r>
          </w:p>
        </w:tc>
      </w:tr>
      <w:tr>
        <w:tc>
          <w:tcPr>
            <w:tcW w:type="dxa" w:w="1100"/>
            <w:tcBorders>
              <w:top w:val="single" w:color="BFC8D6" w:sz="4"/>
              <w:left w:val="single" w:color="BFC8D6" w:sz="4"/>
              <w:bottom w:val="single" w:color="BFC8D6" w:sz="4"/>
              <w:right w:val="single" w:color="BFC8D6" w:sz="4"/>
            </w:tcBorders>
            <w:shd w:fill="1D4ED8" w:color="auto" w:val="clear"/>
            <w:tcMar>
              <w:top w:type="dxa" w:w="80"/>
              <w:left w:type="dxa" w:w="120"/>
              <w:bottom w:type="dxa" w:w="80"/>
              <w:right w:type="dxa" w:w="120"/>
            </w:tcMar>
          </w:tcPr>
          <w:p/>
        </w:tc>
        <w:tc>
          <w:tcPr>
            <w:tcW w:type="dxa" w:w="1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blue-700</w:t>
            </w:r>
          </w:p>
        </w:tc>
        <w:tc>
          <w:tcPr>
            <w:tcW w:type="dxa" w:w="14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#1D4ED8</w:t>
            </w:r>
          </w:p>
        </w:tc>
        <w:tc>
          <w:tcPr>
            <w:tcW w:type="dxa" w:w="4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Links, secondary buttons, focus outlines</w:t>
            </w:r>
          </w:p>
        </w:tc>
      </w:tr>
      <w:tr>
        <w:tc>
          <w:tcPr>
            <w:tcW w:type="dxa" w:w="1100"/>
            <w:tcBorders>
              <w:top w:val="single" w:color="BFC8D6" w:sz="4"/>
              <w:left w:val="single" w:color="BFC8D6" w:sz="4"/>
              <w:bottom w:val="single" w:color="BFC8D6" w:sz="4"/>
              <w:right w:val="single" w:color="BFC8D6" w:sz="4"/>
            </w:tcBorders>
            <w:shd w:fill="1E3A8A" w:color="auto" w:val="clear"/>
            <w:tcMar>
              <w:top w:type="dxa" w:w="80"/>
              <w:left w:type="dxa" w:w="120"/>
              <w:bottom w:type="dxa" w:w="80"/>
              <w:right w:type="dxa" w:w="120"/>
            </w:tcMar>
          </w:tcPr>
          <w:p/>
        </w:tc>
        <w:tc>
          <w:tcPr>
            <w:tcW w:type="dxa" w:w="1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blue-900</w:t>
            </w:r>
          </w:p>
        </w:tc>
        <w:tc>
          <w:tcPr>
            <w:tcW w:type="dxa" w:w="14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#1E3A8A</w:t>
            </w:r>
          </w:p>
        </w:tc>
        <w:tc>
          <w:tcPr>
            <w:tcW w:type="dxa" w:w="4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Needs Review badge text</w:t>
            </w:r>
          </w:p>
        </w:tc>
      </w:tr>
      <w:tr>
        <w:tc>
          <w:tcPr>
            <w:tcW w:type="dxa" w:w="1100"/>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tc>
        <w:tc>
          <w:tcPr>
            <w:tcW w:type="dxa" w:w="1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blue-950</w:t>
            </w:r>
          </w:p>
        </w:tc>
        <w:tc>
          <w:tcPr>
            <w:tcW w:type="dxa" w:w="14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#0B1F4D</w:t>
            </w:r>
          </w:p>
        </w:tc>
        <w:tc>
          <w:tcPr>
            <w:tcW w:type="dxa" w:w="4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Navigation bar, footer, headings, body text</w:t>
            </w:r>
          </w:p>
        </w:tc>
      </w:tr>
      <w:tr>
        <w:tc>
          <w:tcPr>
            <w:tcW w:type="dxa" w:w="1100"/>
            <w:tcBorders>
              <w:top w:val="single" w:color="BFC8D6" w:sz="4"/>
              <w:left w:val="single" w:color="BFC8D6" w:sz="4"/>
              <w:bottom w:val="single" w:color="BFC8D6" w:sz="4"/>
              <w:right w:val="single" w:color="BFC8D6" w:sz="4"/>
            </w:tcBorders>
            <w:shd w:fill="F0FDF4" w:color="auto" w:val="clear"/>
            <w:tcMar>
              <w:top w:type="dxa" w:w="80"/>
              <w:left w:type="dxa" w:w="120"/>
              <w:bottom w:type="dxa" w:w="80"/>
              <w:right w:type="dxa" w:w="120"/>
            </w:tcMar>
          </w:tcPr>
          <w:p/>
        </w:tc>
        <w:tc>
          <w:tcPr>
            <w:tcW w:type="dxa" w:w="1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green-50</w:t>
            </w:r>
          </w:p>
        </w:tc>
        <w:tc>
          <w:tcPr>
            <w:tcW w:type="dxa" w:w="14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#F0FDF4</w:t>
            </w:r>
          </w:p>
        </w:tc>
        <w:tc>
          <w:tcPr>
            <w:tcW w:type="dxa" w:w="4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Likely Eligible background, section backgrounds</w:t>
            </w:r>
          </w:p>
        </w:tc>
      </w:tr>
      <w:tr>
        <w:tc>
          <w:tcPr>
            <w:tcW w:type="dxa" w:w="1100"/>
            <w:tcBorders>
              <w:top w:val="single" w:color="BFC8D6" w:sz="4"/>
              <w:left w:val="single" w:color="BFC8D6" w:sz="4"/>
              <w:bottom w:val="single" w:color="BFC8D6" w:sz="4"/>
              <w:right w:val="single" w:color="BFC8D6" w:sz="4"/>
            </w:tcBorders>
            <w:shd w:fill="DCFCE7" w:color="auto" w:val="clear"/>
            <w:tcMar>
              <w:top w:type="dxa" w:w="80"/>
              <w:left w:type="dxa" w:w="120"/>
              <w:bottom w:type="dxa" w:w="80"/>
              <w:right w:type="dxa" w:w="120"/>
            </w:tcMar>
          </w:tcPr>
          <w:p/>
        </w:tc>
        <w:tc>
          <w:tcPr>
            <w:tcW w:type="dxa" w:w="1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green-100</w:t>
            </w:r>
          </w:p>
        </w:tc>
        <w:tc>
          <w:tcPr>
            <w:tcW w:type="dxa" w:w="14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#DCFCE7</w:t>
            </w:r>
          </w:p>
        </w:tc>
        <w:tc>
          <w:tcPr>
            <w:tcW w:type="dxa" w:w="4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Eligible badge background</w:t>
            </w:r>
          </w:p>
        </w:tc>
      </w:tr>
      <w:tr>
        <w:tc>
          <w:tcPr>
            <w:tcW w:type="dxa" w:w="1100"/>
            <w:tcBorders>
              <w:top w:val="single" w:color="BFC8D6" w:sz="4"/>
              <w:left w:val="single" w:color="BFC8D6" w:sz="4"/>
              <w:bottom w:val="single" w:color="BFC8D6" w:sz="4"/>
              <w:right w:val="single" w:color="BFC8D6" w:sz="4"/>
            </w:tcBorders>
            <w:shd w:fill="86EFAC" w:color="auto" w:val="clear"/>
            <w:tcMar>
              <w:top w:type="dxa" w:w="80"/>
              <w:left w:type="dxa" w:w="120"/>
              <w:bottom w:type="dxa" w:w="80"/>
              <w:right w:type="dxa" w:w="120"/>
            </w:tcMar>
          </w:tcPr>
          <w:p/>
        </w:tc>
        <w:tc>
          <w:tcPr>
            <w:tcW w:type="dxa" w:w="1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green-300</w:t>
            </w:r>
          </w:p>
        </w:tc>
        <w:tc>
          <w:tcPr>
            <w:tcW w:type="dxa" w:w="14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#86EFAC</w:t>
            </w:r>
          </w:p>
        </w:tc>
        <w:tc>
          <w:tcPr>
            <w:tcW w:type="dxa" w:w="4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Likely Eligible border</w:t>
            </w:r>
          </w:p>
        </w:tc>
      </w:tr>
      <w:tr>
        <w:tc>
          <w:tcPr>
            <w:tcW w:type="dxa" w:w="1100"/>
            <w:tcBorders>
              <w:top w:val="single" w:color="BFC8D6" w:sz="4"/>
              <w:left w:val="single" w:color="BFC8D6" w:sz="4"/>
              <w:bottom w:val="single" w:color="BFC8D6" w:sz="4"/>
              <w:right w:val="single" w:color="BFC8D6" w:sz="4"/>
            </w:tcBorders>
            <w:shd w:fill="22C55E" w:color="auto" w:val="clear"/>
            <w:tcMar>
              <w:top w:type="dxa" w:w="80"/>
              <w:left w:type="dxa" w:w="120"/>
              <w:bottom w:type="dxa" w:w="80"/>
              <w:right w:type="dxa" w:w="120"/>
            </w:tcMar>
          </w:tcPr>
          <w:p/>
        </w:tc>
        <w:tc>
          <w:tcPr>
            <w:tcW w:type="dxa" w:w="1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green-500</w:t>
            </w:r>
          </w:p>
        </w:tc>
        <w:tc>
          <w:tcPr>
            <w:tcW w:type="dxa" w:w="14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#22C55E</w:t>
            </w:r>
          </w:p>
        </w:tc>
        <w:tc>
          <w:tcPr>
            <w:tcW w:type="dxa" w:w="4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Decorative accents only (not behind text)</w:t>
            </w:r>
          </w:p>
        </w:tc>
      </w:tr>
      <w:tr>
        <w:tc>
          <w:tcPr>
            <w:tcW w:type="dxa" w:w="1100"/>
            <w:tcBorders>
              <w:top w:val="single" w:color="BFC8D6" w:sz="4"/>
              <w:left w:val="single" w:color="BFC8D6" w:sz="4"/>
              <w:bottom w:val="single" w:color="BFC8D6" w:sz="4"/>
              <w:right w:val="single" w:color="BFC8D6" w:sz="4"/>
            </w:tcBorders>
            <w:shd w:fill="15803D" w:color="auto" w:val="clear"/>
            <w:tcMar>
              <w:top w:type="dxa" w:w="80"/>
              <w:left w:type="dxa" w:w="120"/>
              <w:bottom w:type="dxa" w:w="80"/>
              <w:right w:type="dxa" w:w="120"/>
            </w:tcMar>
          </w:tcPr>
          <w:p/>
        </w:tc>
        <w:tc>
          <w:tcPr>
            <w:tcW w:type="dxa" w:w="1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green-700</w:t>
            </w:r>
          </w:p>
        </w:tc>
        <w:tc>
          <w:tcPr>
            <w:tcW w:type="dxa" w:w="14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#15803D</w:t>
            </w:r>
          </w:p>
        </w:tc>
        <w:tc>
          <w:tcPr>
            <w:tcW w:type="dxa" w:w="4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Primary call-to-action buttons</w:t>
            </w:r>
          </w:p>
        </w:tc>
      </w:tr>
      <w:tr>
        <w:tc>
          <w:tcPr>
            <w:tcW w:type="dxa" w:w="1100"/>
            <w:tcBorders>
              <w:top w:val="single" w:color="BFC8D6" w:sz="4"/>
              <w:left w:val="single" w:color="BFC8D6" w:sz="4"/>
              <w:bottom w:val="single" w:color="BFC8D6" w:sz="4"/>
              <w:right w:val="single" w:color="BFC8D6" w:sz="4"/>
            </w:tcBorders>
            <w:shd w:fill="166534" w:color="auto" w:val="clear"/>
            <w:tcMar>
              <w:top w:type="dxa" w:w="80"/>
              <w:left w:type="dxa" w:w="120"/>
              <w:bottom w:type="dxa" w:w="80"/>
              <w:right w:type="dxa" w:w="120"/>
            </w:tcMar>
          </w:tcPr>
          <w:p/>
        </w:tc>
        <w:tc>
          <w:tcPr>
            <w:tcW w:type="dxa" w:w="1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green-800</w:t>
            </w:r>
          </w:p>
        </w:tc>
        <w:tc>
          <w:tcPr>
            <w:tcW w:type="dxa" w:w="14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#166534</w:t>
            </w:r>
          </w:p>
        </w:tc>
        <w:tc>
          <w:tcPr>
            <w:tcW w:type="dxa" w:w="4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Primary button hover, Likely Eligible text</w:t>
            </w:r>
          </w:p>
        </w:tc>
      </w:tr>
      <w:tr>
        <w:tc>
          <w:tcPr>
            <w:tcW w:type="dxa" w:w="1100"/>
            <w:tcBorders>
              <w:top w:val="single" w:color="BFC8D6" w:sz="4"/>
              <w:left w:val="single" w:color="BFC8D6" w:sz="4"/>
              <w:bottom w:val="single" w:color="BFC8D6" w:sz="4"/>
              <w:right w:val="single" w:color="BFC8D6" w:sz="4"/>
            </w:tcBorders>
            <w:shd w:fill="14532D" w:color="auto" w:val="clear"/>
            <w:tcMar>
              <w:top w:type="dxa" w:w="80"/>
              <w:left w:type="dxa" w:w="120"/>
              <w:bottom w:type="dxa" w:w="80"/>
              <w:right w:type="dxa" w:w="120"/>
            </w:tcMar>
          </w:tcPr>
          <w:p/>
        </w:tc>
        <w:tc>
          <w:tcPr>
            <w:tcW w:type="dxa" w:w="1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green-900</w:t>
            </w:r>
          </w:p>
        </w:tc>
        <w:tc>
          <w:tcPr>
            <w:tcW w:type="dxa" w:w="14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#14532D</w:t>
            </w:r>
          </w:p>
        </w:tc>
        <w:tc>
          <w:tcPr>
            <w:tcW w:type="dxa" w:w="4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Eligible badge text</w:t>
            </w:r>
          </w:p>
        </w:tc>
      </w:tr>
      <w:tr>
        <w:tc>
          <w:tcPr>
            <w:tcW w:type="dxa" w:w="1100"/>
            <w:tcBorders>
              <w:top w:val="single" w:color="BFC8D6" w:sz="4"/>
              <w:left w:val="single" w:color="BFC8D6" w:sz="4"/>
              <w:bottom w:val="single" w:color="BFC8D6" w:sz="4"/>
              <w:right w:val="single" w:color="BFC8D6" w:sz="4"/>
            </w:tcBorders>
            <w:shd w:fill="FEF2F2" w:color="auto" w:val="clear"/>
            <w:tcMar>
              <w:top w:type="dxa" w:w="80"/>
              <w:left w:type="dxa" w:w="120"/>
              <w:bottom w:type="dxa" w:w="80"/>
              <w:right w:type="dxa" w:w="120"/>
            </w:tcMar>
          </w:tcPr>
          <w:p/>
        </w:tc>
        <w:tc>
          <w:tcPr>
            <w:tcW w:type="dxa" w:w="1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red-50</w:t>
            </w:r>
          </w:p>
        </w:tc>
        <w:tc>
          <w:tcPr>
            <w:tcW w:type="dxa" w:w="14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#FEF2F2</w:t>
            </w:r>
          </w:p>
        </w:tc>
        <w:tc>
          <w:tcPr>
            <w:tcW w:type="dxa" w:w="4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Not Eligible result card background</w:t>
            </w:r>
          </w:p>
        </w:tc>
      </w:tr>
      <w:tr>
        <w:tc>
          <w:tcPr>
            <w:tcW w:type="dxa" w:w="1100"/>
            <w:tcBorders>
              <w:top w:val="single" w:color="BFC8D6" w:sz="4"/>
              <w:left w:val="single" w:color="BFC8D6" w:sz="4"/>
              <w:bottom w:val="single" w:color="BFC8D6" w:sz="4"/>
              <w:right w:val="single" w:color="BFC8D6" w:sz="4"/>
            </w:tcBorders>
            <w:shd w:fill="FEE2E2" w:color="auto" w:val="clear"/>
            <w:tcMar>
              <w:top w:type="dxa" w:w="80"/>
              <w:left w:type="dxa" w:w="120"/>
              <w:bottom w:type="dxa" w:w="80"/>
              <w:right w:type="dxa" w:w="120"/>
            </w:tcMar>
          </w:tcPr>
          <w:p/>
        </w:tc>
        <w:tc>
          <w:tcPr>
            <w:tcW w:type="dxa" w:w="1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red-100</w:t>
            </w:r>
          </w:p>
        </w:tc>
        <w:tc>
          <w:tcPr>
            <w:tcW w:type="dxa" w:w="14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#FEE2E2</w:t>
            </w:r>
          </w:p>
        </w:tc>
        <w:tc>
          <w:tcPr>
            <w:tcW w:type="dxa" w:w="4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Not Eligible badge background</w:t>
            </w:r>
          </w:p>
        </w:tc>
      </w:tr>
      <w:tr>
        <w:tc>
          <w:tcPr>
            <w:tcW w:type="dxa" w:w="1100"/>
            <w:tcBorders>
              <w:top w:val="single" w:color="BFC8D6" w:sz="4"/>
              <w:left w:val="single" w:color="BFC8D6" w:sz="4"/>
              <w:bottom w:val="single" w:color="BFC8D6" w:sz="4"/>
              <w:right w:val="single" w:color="BFC8D6" w:sz="4"/>
            </w:tcBorders>
            <w:shd w:fill="FCA5A5" w:color="auto" w:val="clear"/>
            <w:tcMar>
              <w:top w:type="dxa" w:w="80"/>
              <w:left w:type="dxa" w:w="120"/>
              <w:bottom w:type="dxa" w:w="80"/>
              <w:right w:type="dxa" w:w="120"/>
            </w:tcMar>
          </w:tcPr>
          <w:p/>
        </w:tc>
        <w:tc>
          <w:tcPr>
            <w:tcW w:type="dxa" w:w="1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red-300</w:t>
            </w:r>
          </w:p>
        </w:tc>
        <w:tc>
          <w:tcPr>
            <w:tcW w:type="dxa" w:w="14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#FCA5A5</w:t>
            </w:r>
          </w:p>
        </w:tc>
        <w:tc>
          <w:tcPr>
            <w:tcW w:type="dxa" w:w="4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Borders on failed-requirement rows</w:t>
            </w:r>
          </w:p>
        </w:tc>
      </w:tr>
      <w:tr>
        <w:tc>
          <w:tcPr>
            <w:tcW w:type="dxa" w:w="1100"/>
            <w:tcBorders>
              <w:top w:val="single" w:color="BFC8D6" w:sz="4"/>
              <w:left w:val="single" w:color="BFC8D6" w:sz="4"/>
              <w:bottom w:val="single" w:color="BFC8D6" w:sz="4"/>
              <w:right w:val="single" w:color="BFC8D6" w:sz="4"/>
            </w:tcBorders>
            <w:shd w:fill="DC2626" w:color="auto" w:val="clear"/>
            <w:tcMar>
              <w:top w:type="dxa" w:w="80"/>
              <w:left w:type="dxa" w:w="120"/>
              <w:bottom w:type="dxa" w:w="80"/>
              <w:right w:type="dxa" w:w="120"/>
            </w:tcMar>
          </w:tcPr>
          <w:p/>
        </w:tc>
        <w:tc>
          <w:tcPr>
            <w:tcW w:type="dxa" w:w="1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red-600</w:t>
            </w:r>
          </w:p>
        </w:tc>
        <w:tc>
          <w:tcPr>
            <w:tcW w:type="dxa" w:w="14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#DC2626</w:t>
            </w:r>
          </w:p>
        </w:tc>
        <w:tc>
          <w:tcPr>
            <w:tcW w:type="dxa" w:w="4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Icons beside unmet requirements</w:t>
            </w:r>
          </w:p>
        </w:tc>
      </w:tr>
      <w:tr>
        <w:tc>
          <w:tcPr>
            <w:tcW w:type="dxa" w:w="1100"/>
            <w:tcBorders>
              <w:top w:val="single" w:color="BFC8D6" w:sz="4"/>
              <w:left w:val="single" w:color="BFC8D6" w:sz="4"/>
              <w:bottom w:val="single" w:color="BFC8D6" w:sz="4"/>
              <w:right w:val="single" w:color="BFC8D6" w:sz="4"/>
            </w:tcBorders>
            <w:shd w:fill="B91C1C" w:color="auto" w:val="clear"/>
            <w:tcMar>
              <w:top w:type="dxa" w:w="80"/>
              <w:left w:type="dxa" w:w="120"/>
              <w:bottom w:type="dxa" w:w="80"/>
              <w:right w:type="dxa" w:w="120"/>
            </w:tcMar>
          </w:tcPr>
          <w:p/>
        </w:tc>
        <w:tc>
          <w:tcPr>
            <w:tcW w:type="dxa" w:w="1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red-700</w:t>
            </w:r>
          </w:p>
        </w:tc>
        <w:tc>
          <w:tcPr>
            <w:tcW w:type="dxa" w:w="14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#B91C1C</w:t>
            </w:r>
          </w:p>
        </w:tc>
        <w:tc>
          <w:tcPr>
            <w:tcW w:type="dxa" w:w="4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Solid Not Eligible badge (white text)</w:t>
            </w:r>
          </w:p>
        </w:tc>
      </w:tr>
      <w:tr>
        <w:tc>
          <w:tcPr>
            <w:tcW w:type="dxa" w:w="1100"/>
            <w:tcBorders>
              <w:top w:val="single" w:color="BFC8D6" w:sz="4"/>
              <w:left w:val="single" w:color="BFC8D6" w:sz="4"/>
              <w:bottom w:val="single" w:color="BFC8D6" w:sz="4"/>
              <w:right w:val="single" w:color="BFC8D6" w:sz="4"/>
            </w:tcBorders>
            <w:shd w:fill="991B1B" w:color="auto" w:val="clear"/>
            <w:tcMar>
              <w:top w:type="dxa" w:w="80"/>
              <w:left w:type="dxa" w:w="120"/>
              <w:bottom w:type="dxa" w:w="80"/>
              <w:right w:type="dxa" w:w="120"/>
            </w:tcMar>
          </w:tcPr>
          <w:p/>
        </w:tc>
        <w:tc>
          <w:tcPr>
            <w:tcW w:type="dxa" w:w="1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red-800</w:t>
            </w:r>
          </w:p>
        </w:tc>
        <w:tc>
          <w:tcPr>
            <w:tcW w:type="dxa" w:w="14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#991B1B</w:t>
            </w:r>
          </w:p>
        </w:tc>
        <w:tc>
          <w:tcPr>
            <w:tcW w:type="dxa" w:w="4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Not Eligible badge text, error text</w:t>
            </w:r>
          </w:p>
        </w:tc>
      </w:tr>
      <w:tr>
        <w:tc>
          <w:tcPr>
            <w:tcW w:type="dxa" w:w="1100"/>
            <w:tcBorders>
              <w:top w:val="single" w:color="BFC8D6" w:sz="4"/>
              <w:left w:val="single" w:color="BFC8D6" w:sz="4"/>
              <w:bottom w:val="single" w:color="BFC8D6" w:sz="4"/>
              <w:right w:val="single" w:color="BFC8D6" w:sz="4"/>
            </w:tcBorders>
            <w:shd w:fill="FFFFFF" w:color="auto" w:val="clear"/>
            <w:tcMar>
              <w:top w:type="dxa" w:w="80"/>
              <w:left w:type="dxa" w:w="120"/>
              <w:bottom w:type="dxa" w:w="80"/>
              <w:right w:type="dxa" w:w="120"/>
            </w:tcMar>
          </w:tcPr>
          <w:p/>
        </w:tc>
        <w:tc>
          <w:tcPr>
            <w:tcW w:type="dxa" w:w="1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white</w:t>
            </w:r>
          </w:p>
        </w:tc>
        <w:tc>
          <w:tcPr>
            <w:tcW w:type="dxa" w:w="14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#FFFFFF</w:t>
            </w:r>
          </w:p>
        </w:tc>
        <w:tc>
          <w:tcPr>
            <w:tcW w:type="dxa" w:w="4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Page and card backgrounds</w:t>
            </w:r>
          </w:p>
        </w:tc>
      </w:tr>
      <w:tr>
        <w:tc>
          <w:tcPr>
            <w:tcW w:type="dxa" w:w="1100"/>
            <w:tcBorders>
              <w:top w:val="single" w:color="BFC8D6" w:sz="4"/>
              <w:left w:val="single" w:color="BFC8D6" w:sz="4"/>
              <w:bottom w:val="single" w:color="BFC8D6" w:sz="4"/>
              <w:right w:val="single" w:color="BFC8D6" w:sz="4"/>
            </w:tcBorders>
            <w:shd w:fill="F8FAFC" w:color="auto" w:val="clear"/>
            <w:tcMar>
              <w:top w:type="dxa" w:w="80"/>
              <w:left w:type="dxa" w:w="120"/>
              <w:bottom w:type="dxa" w:w="80"/>
              <w:right w:type="dxa" w:w="120"/>
            </w:tcMar>
          </w:tcPr>
          <w:p/>
        </w:tc>
        <w:tc>
          <w:tcPr>
            <w:tcW w:type="dxa" w:w="16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off-white</w:t>
            </w:r>
          </w:p>
        </w:tc>
        <w:tc>
          <w:tcPr>
            <w:tcW w:type="dxa" w:w="14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#F8FAFC</w:t>
            </w:r>
          </w:p>
        </w:tc>
        <w:tc>
          <w:tcPr>
            <w:tcW w:type="dxa" w:w="4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Alternating section backgrounds</w:t>
            </w:r>
          </w:p>
        </w:tc>
      </w:tr>
    </w:tbl>
    <w:p>
      <w:pPr>
        <w:spacing w:after="120"/>
      </w:pPr>
    </w:p>
    <w:p>
      <w:pPr>
        <w:pStyle w:val="ListParagraph"/>
        <w:numPr>
          <w:ilvl w:val="0"/>
          <w:numId w:val="3"/>
        </w:numPr>
        <w:spacing w:after="60"/>
      </w:pPr>
      <w:r>
        <w:t xml:space="preserve">Red shall be used only for negative outcomes: Not Eligible results, unmet requirements, expired scholarships, past deadlines and form validation errors. It shall not be used for decoration or ordinary buttons.</w:t>
      </w:r>
    </w:p>
    <w:p>
      <w:pPr>
        <w:pStyle w:val="ListParagraph"/>
        <w:numPr>
          <w:ilvl w:val="0"/>
          <w:numId w:val="3"/>
        </w:numPr>
        <w:spacing w:after="60"/>
      </w:pPr>
      <w:r>
        <w:t xml:space="preserve">White text shall only be placed on green-700, blue-700, red-700 or darker shades.</w:t>
      </w:r>
    </w:p>
    <w:p>
      <w:pPr>
        <w:pStyle w:val="Heading2"/>
      </w:pPr>
      <w:r>
        <w:t xml:space="preserve">11.6 Eligibility Status Presentation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1926"/>
      </w:tblGrid>
      <w:tr>
        <w:trPr>
          <w:tblHeader/>
        </w:trPr>
        <w:tc>
          <w:tcPr>
            <w:tcW w:type="dxa" w:w="2000"/>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Status</w:t>
            </w:r>
          </w:p>
        </w:tc>
        <w:tc>
          <w:tcPr>
            <w:tcW w:type="dxa" w:w="1700"/>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Background</w:t>
            </w:r>
          </w:p>
        </w:tc>
        <w:tc>
          <w:tcPr>
            <w:tcW w:type="dxa" w:w="1700"/>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Text</w:t>
            </w:r>
          </w:p>
        </w:tc>
        <w:tc>
          <w:tcPr>
            <w:tcW w:type="dxa" w:w="1700"/>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Border</w:t>
            </w:r>
          </w:p>
        </w:tc>
        <w:tc>
          <w:tcPr>
            <w:tcW w:type="dxa" w:w="1926"/>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Icon</w:t>
            </w:r>
          </w:p>
        </w:tc>
      </w:tr>
      <w:tr>
        <w:tc>
          <w:tcPr>
            <w:tcW w:type="dxa" w:w="2000"/>
            <w:tcBorders>
              <w:top w:val="single" w:color="BFC8D6" w:sz="4"/>
              <w:left w:val="single" w:color="BFC8D6" w:sz="4"/>
              <w:bottom w:val="single" w:color="BFC8D6" w:sz="4"/>
              <w:right w:val="single" w:color="BFC8D6" w:sz="4"/>
            </w:tcBorders>
            <w:shd w:fill="DCFCE7" w:color="auto" w:val="clear"/>
            <w:tcMar>
              <w:top w:type="dxa" w:w="80"/>
              <w:left w:type="dxa" w:w="120"/>
              <w:bottom w:type="dxa" w:w="80"/>
              <w:right w:type="dxa" w:w="120"/>
            </w:tcMar>
          </w:tcPr>
          <w:p>
            <w:r>
              <w:rPr>
                <w:b/>
                <w:bCs/>
                <w:color w:val="14532D"/>
                <w:sz w:val="20"/>
                <w:szCs w:val="20"/>
              </w:rPr>
              <w:t xml:space="preserve">Eligible</w:t>
            </w:r>
          </w:p>
        </w:tc>
        <w:tc>
          <w:tcPr>
            <w:tcW w:type="dxa" w:w="17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green-100</w:t>
            </w:r>
          </w:p>
        </w:tc>
        <w:tc>
          <w:tcPr>
            <w:tcW w:type="dxa" w:w="17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green-900</w:t>
            </w:r>
          </w:p>
        </w:tc>
        <w:tc>
          <w:tcPr>
            <w:tcW w:type="dxa" w:w="17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None</w:t>
            </w:r>
          </w:p>
        </w:tc>
        <w:tc>
          <w:tcPr>
            <w:tcW w:type="dxa" w:w="1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Check mark</w:t>
            </w:r>
          </w:p>
        </w:tc>
      </w:tr>
      <w:tr>
        <w:tc>
          <w:tcPr>
            <w:tcW w:type="dxa" w:w="2000"/>
            <w:tcBorders>
              <w:top w:val="single" w:color="BFC8D6" w:sz="4"/>
              <w:left w:val="single" w:color="BFC8D6" w:sz="4"/>
              <w:bottom w:val="single" w:color="BFC8D6" w:sz="4"/>
              <w:right w:val="single" w:color="BFC8D6" w:sz="4"/>
            </w:tcBorders>
            <w:shd w:fill="F0FDF4" w:color="auto" w:val="clear"/>
            <w:tcMar>
              <w:top w:type="dxa" w:w="80"/>
              <w:left w:type="dxa" w:w="120"/>
              <w:bottom w:type="dxa" w:w="80"/>
              <w:right w:type="dxa" w:w="120"/>
            </w:tcMar>
          </w:tcPr>
          <w:p>
            <w:r>
              <w:rPr>
                <w:b/>
                <w:bCs/>
                <w:color w:val="166534"/>
                <w:sz w:val="20"/>
                <w:szCs w:val="20"/>
              </w:rPr>
              <w:t xml:space="preserve">Likely Eligible</w:t>
            </w:r>
          </w:p>
        </w:tc>
        <w:tc>
          <w:tcPr>
            <w:tcW w:type="dxa" w:w="17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green-50</w:t>
            </w:r>
          </w:p>
        </w:tc>
        <w:tc>
          <w:tcPr>
            <w:tcW w:type="dxa" w:w="17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green-800</w:t>
            </w:r>
          </w:p>
        </w:tc>
        <w:tc>
          <w:tcPr>
            <w:tcW w:type="dxa" w:w="17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green-300</w:t>
            </w:r>
          </w:p>
        </w:tc>
        <w:tc>
          <w:tcPr>
            <w:tcW w:type="dxa" w:w="1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Dashed check</w:t>
            </w:r>
          </w:p>
        </w:tc>
      </w:tr>
      <w:tr>
        <w:tc>
          <w:tcPr>
            <w:tcW w:type="dxa" w:w="2000"/>
            <w:tcBorders>
              <w:top w:val="single" w:color="BFC8D6" w:sz="4"/>
              <w:left w:val="single" w:color="BFC8D6" w:sz="4"/>
              <w:bottom w:val="single" w:color="BFC8D6" w:sz="4"/>
              <w:right w:val="single" w:color="BFC8D6" w:sz="4"/>
            </w:tcBorders>
            <w:shd w:fill="DBEAFE" w:color="auto" w:val="clear"/>
            <w:tcMar>
              <w:top w:type="dxa" w:w="80"/>
              <w:left w:type="dxa" w:w="120"/>
              <w:bottom w:type="dxa" w:w="80"/>
              <w:right w:type="dxa" w:w="120"/>
            </w:tcMar>
          </w:tcPr>
          <w:p>
            <w:r>
              <w:rPr>
                <w:b/>
                <w:bCs/>
                <w:color w:val="1E3A8A"/>
                <w:sz w:val="20"/>
                <w:szCs w:val="20"/>
              </w:rPr>
              <w:t xml:space="preserve">Needs Review</w:t>
            </w:r>
          </w:p>
        </w:tc>
        <w:tc>
          <w:tcPr>
            <w:tcW w:type="dxa" w:w="17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blue-100</w:t>
            </w:r>
          </w:p>
        </w:tc>
        <w:tc>
          <w:tcPr>
            <w:tcW w:type="dxa" w:w="17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blue-900</w:t>
            </w:r>
          </w:p>
        </w:tc>
        <w:tc>
          <w:tcPr>
            <w:tcW w:type="dxa" w:w="17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None</w:t>
            </w:r>
          </w:p>
        </w:tc>
        <w:tc>
          <w:tcPr>
            <w:tcW w:type="dxa" w:w="1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Question mark</w:t>
            </w:r>
          </w:p>
        </w:tc>
      </w:tr>
      <w:tr>
        <w:tc>
          <w:tcPr>
            <w:tcW w:type="dxa" w:w="2000"/>
            <w:tcBorders>
              <w:top w:val="single" w:color="BFC8D6" w:sz="4"/>
              <w:left w:val="single" w:color="BFC8D6" w:sz="4"/>
              <w:bottom w:val="single" w:color="BFC8D6" w:sz="4"/>
              <w:right w:val="single" w:color="BFC8D6" w:sz="4"/>
            </w:tcBorders>
            <w:shd w:fill="FEE2E2" w:color="auto" w:val="clear"/>
            <w:tcMar>
              <w:top w:type="dxa" w:w="80"/>
              <w:left w:type="dxa" w:w="120"/>
              <w:bottom w:type="dxa" w:w="80"/>
              <w:right w:type="dxa" w:w="120"/>
            </w:tcMar>
          </w:tcPr>
          <w:p>
            <w:r>
              <w:rPr>
                <w:b/>
                <w:bCs/>
                <w:color w:val="991B1B"/>
                <w:sz w:val="20"/>
                <w:szCs w:val="20"/>
              </w:rPr>
              <w:t xml:space="preserve">Not Eligible</w:t>
            </w:r>
          </w:p>
        </w:tc>
        <w:tc>
          <w:tcPr>
            <w:tcW w:type="dxa" w:w="17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red-100</w:t>
            </w:r>
          </w:p>
        </w:tc>
        <w:tc>
          <w:tcPr>
            <w:tcW w:type="dxa" w:w="17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red-800</w:t>
            </w:r>
          </w:p>
        </w:tc>
        <w:tc>
          <w:tcPr>
            <w:tcW w:type="dxa" w:w="17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None</w:t>
            </w:r>
          </w:p>
        </w:tc>
        <w:tc>
          <w:tcPr>
            <w:tcW w:type="dxa" w:w="19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Cross</w:t>
            </w:r>
          </w:p>
        </w:tc>
      </w:tr>
    </w:tbl>
    <w:p>
      <w:pPr>
        <w:spacing w:after="120"/>
      </w:pPr>
    </w:p>
    <w:p>
      <w:pPr>
        <w:pStyle w:val="ListParagraph"/>
        <w:numPr>
          <w:ilvl w:val="0"/>
          <w:numId w:val="3"/>
        </w:numPr>
        <w:spacing w:after="60"/>
      </w:pPr>
      <w:r>
        <w:t xml:space="preserve">Every status shall display an icon and a text label in addition to colour.</w:t>
      </w:r>
    </w:p>
    <w:p>
      <w:pPr>
        <w:pStyle w:val="ListParagraph"/>
        <w:numPr>
          <w:ilvl w:val="0"/>
          <w:numId w:val="3"/>
        </w:numPr>
        <w:spacing w:after="60"/>
      </w:pPr>
      <w:r>
        <w:t xml:space="preserve">A stronger Not Eligible variant may use a red-700 background with white text.</w:t>
      </w:r>
    </w:p>
    <w:p>
      <w:pPr>
        <w:pStyle w:val="ListParagraph"/>
        <w:numPr>
          <w:ilvl w:val="0"/>
          <w:numId w:val="3"/>
        </w:numPr>
        <w:spacing w:after="60"/>
      </w:pPr>
      <w:r>
        <w:t xml:space="preserve">Where a status element is interactive (for example, opening the explanation of unmet requirements), it shall carry an explicit label such as 'See why' so it is not mistaken for a destructive action.</w:t>
      </w:r>
    </w:p>
    <w:p>
      <w:pPr>
        <w:pStyle w:val="Heading1"/>
      </w:pPr>
      <w:r>
        <w:t xml:space="preserve">12. Non-Functional Requirements</w:t>
      </w:r>
    </w:p>
    <w:p>
      <w:pPr>
        <w:pStyle w:val="Heading2"/>
      </w:pPr>
      <w:r>
        <w:t xml:space="preserve">12.1 Performance</w:t>
      </w:r>
    </w:p>
    <w:p>
      <w:pPr>
        <w:pStyle w:val="ListParagraph"/>
        <w:numPr>
          <w:ilvl w:val="0"/>
          <w:numId w:val="3"/>
        </w:numPr>
        <w:spacing w:after="60"/>
      </w:pPr>
      <w:r>
        <w:t xml:space="preserve">Common public pages should load quickly under normal operating conditions.</w:t>
      </w:r>
    </w:p>
    <w:p>
      <w:pPr>
        <w:pStyle w:val="ListParagraph"/>
        <w:numPr>
          <w:ilvl w:val="0"/>
          <w:numId w:val="3"/>
        </w:numPr>
        <w:spacing w:after="60"/>
      </w:pPr>
      <w:r>
        <w:t xml:space="preserve">Eligibility searches should return within a few seconds for the expected MVP dataset.</w:t>
      </w:r>
    </w:p>
    <w:p>
      <w:pPr>
        <w:pStyle w:val="ListParagraph"/>
        <w:numPr>
          <w:ilvl w:val="0"/>
          <w:numId w:val="3"/>
        </w:numPr>
        <w:spacing w:after="60"/>
      </w:pPr>
      <w:r>
        <w:t xml:space="preserve">Search and filtering should remain responsive as programme and scholarship records grow.</w:t>
      </w:r>
    </w:p>
    <w:p>
      <w:pPr>
        <w:pStyle w:val="Heading2"/>
      </w:pPr>
      <w:r>
        <w:t xml:space="preserve">12.2 Scalability</w:t>
      </w:r>
    </w:p>
    <w:p>
      <w:pPr>
        <w:pStyle w:val="ListParagraph"/>
        <w:numPr>
          <w:ilvl w:val="0"/>
          <w:numId w:val="3"/>
        </w:numPr>
        <w:spacing w:after="60"/>
      </w:pPr>
      <w:r>
        <w:t xml:space="preserve">The backend shall separate programme data, scholarship data, mentoring data and eligibility logic into maintainable domains.</w:t>
      </w:r>
    </w:p>
    <w:p>
      <w:pPr>
        <w:pStyle w:val="ListParagraph"/>
        <w:numPr>
          <w:ilvl w:val="0"/>
          <w:numId w:val="3"/>
        </w:numPr>
        <w:spacing w:after="60"/>
      </w:pPr>
      <w:r>
        <w:t xml:space="preserve">The eligibility engine shall be designed so additional requirement rule types can be added without rewriting existing programme data.</w:t>
      </w:r>
    </w:p>
    <w:p>
      <w:pPr>
        <w:pStyle w:val="Heading2"/>
      </w:pPr>
      <w:r>
        <w:t xml:space="preserve">12.3 Availability</w:t>
      </w:r>
    </w:p>
    <w:p>
      <w:pPr>
        <w:pStyle w:val="ListParagraph"/>
        <w:numPr>
          <w:ilvl w:val="0"/>
          <w:numId w:val="3"/>
        </w:numPr>
        <w:spacing w:after="60"/>
      </w:pPr>
      <w:r>
        <w:t xml:space="preserve">The public site should be available during peak university application periods.</w:t>
      </w:r>
    </w:p>
    <w:p>
      <w:pPr>
        <w:pStyle w:val="ListParagraph"/>
        <w:numPr>
          <w:ilvl w:val="0"/>
          <w:numId w:val="3"/>
        </w:numPr>
        <w:spacing w:after="60"/>
      </w:pPr>
      <w:r>
        <w:t xml:space="preserve">The system should have automated backups for persistent data.</w:t>
      </w:r>
    </w:p>
    <w:p>
      <w:pPr>
        <w:pStyle w:val="Heading2"/>
      </w:pPr>
      <w:r>
        <w:t xml:space="preserve">12.4 Usability</w:t>
      </w:r>
    </w:p>
    <w:p>
      <w:pPr>
        <w:pStyle w:val="ListParagraph"/>
        <w:numPr>
          <w:ilvl w:val="0"/>
          <w:numId w:val="3"/>
        </w:numPr>
        <w:spacing w:after="60"/>
      </w:pPr>
      <w:r>
        <w:t xml:space="preserve">The core eligibility flow shall be usable on desktop and mobile devices.</w:t>
      </w:r>
    </w:p>
    <w:p>
      <w:pPr>
        <w:pStyle w:val="ListParagraph"/>
        <w:numPr>
          <w:ilvl w:val="0"/>
          <w:numId w:val="3"/>
        </w:numPr>
        <w:spacing w:after="60"/>
      </w:pPr>
      <w:r>
        <w:t xml:space="preserve">The result-entry interface shall minimize unnecessary steps.</w:t>
      </w:r>
    </w:p>
    <w:p>
      <w:pPr>
        <w:pStyle w:val="ListParagraph"/>
        <w:numPr>
          <w:ilvl w:val="0"/>
          <w:numId w:val="3"/>
        </w:numPr>
        <w:spacing w:after="60"/>
      </w:pPr>
      <w:r>
        <w:t xml:space="preserve">Eligibility explanations shall use plain language.</w:t>
      </w:r>
    </w:p>
    <w:p>
      <w:pPr>
        <w:pStyle w:val="ListParagraph"/>
        <w:numPr>
          <w:ilvl w:val="0"/>
          <w:numId w:val="3"/>
        </w:numPr>
        <w:spacing w:after="60"/>
      </w:pPr>
      <w:r>
        <w:t xml:space="preserve">Important deadlines and verification states shall be visually prominent.</w:t>
      </w:r>
    </w:p>
    <w:p>
      <w:pPr>
        <w:pStyle w:val="Heading2"/>
      </w:pPr>
      <w:r>
        <w:t xml:space="preserve">12.5 Accessibility</w:t>
      </w:r>
    </w:p>
    <w:p>
      <w:pPr>
        <w:pStyle w:val="ListParagraph"/>
        <w:numPr>
          <w:ilvl w:val="0"/>
          <w:numId w:val="3"/>
        </w:numPr>
        <w:spacing w:after="60"/>
      </w:pPr>
      <w:r>
        <w:t xml:space="preserve">The interface should follow WCAG-aligned accessibility practices.</w:t>
      </w:r>
    </w:p>
    <w:p>
      <w:pPr>
        <w:pStyle w:val="ListParagraph"/>
        <w:numPr>
          <w:ilvl w:val="0"/>
          <w:numId w:val="3"/>
        </w:numPr>
        <w:spacing w:after="60"/>
      </w:pPr>
      <w:r>
        <w:t xml:space="preserve">Form controls shall have labels.</w:t>
      </w:r>
    </w:p>
    <w:p>
      <w:pPr>
        <w:pStyle w:val="ListParagraph"/>
        <w:numPr>
          <w:ilvl w:val="0"/>
          <w:numId w:val="3"/>
        </w:numPr>
        <w:spacing w:after="60"/>
      </w:pPr>
      <w:r>
        <w:t xml:space="preserve">Keyboard navigation shall be supported, with visible focus indicators.</w:t>
      </w:r>
    </w:p>
    <w:p>
      <w:pPr>
        <w:pStyle w:val="ListParagraph"/>
        <w:numPr>
          <w:ilvl w:val="0"/>
          <w:numId w:val="3"/>
        </w:numPr>
        <w:spacing w:after="60"/>
      </w:pPr>
      <w:r>
        <w:t xml:space="preserve">Color shall not be the sole method of communicating eligibility status.</w:t>
      </w:r>
    </w:p>
    <w:p>
      <w:pPr>
        <w:pStyle w:val="ListParagraph"/>
        <w:numPr>
          <w:ilvl w:val="0"/>
          <w:numId w:val="3"/>
        </w:numPr>
        <w:spacing w:after="60"/>
      </w:pPr>
      <w:r>
        <w:t xml:space="preserve">Text contrast shall meet applicable accessibility guidance; colour pairings shall follow Section 11.5.</w:t>
      </w:r>
    </w:p>
    <w:p>
      <w:pPr>
        <w:pStyle w:val="Heading2"/>
      </w:pPr>
      <w:r>
        <w:t xml:space="preserve">12.6 Maintainability</w:t>
      </w:r>
    </w:p>
    <w:p>
      <w:pPr>
        <w:pStyle w:val="ListParagraph"/>
        <w:numPr>
          <w:ilvl w:val="0"/>
          <w:numId w:val="3"/>
        </w:numPr>
        <w:spacing w:after="60"/>
      </w:pPr>
      <w:r>
        <w:t xml:space="preserve">Admission rules shall be stored as structured data rather than hard-coded in frontend components.</w:t>
      </w:r>
    </w:p>
    <w:p>
      <w:pPr>
        <w:pStyle w:val="ListParagraph"/>
        <w:numPr>
          <w:ilvl w:val="0"/>
          <w:numId w:val="3"/>
        </w:numPr>
        <w:spacing w:after="60"/>
      </w:pPr>
      <w:r>
        <w:t xml:space="preserve">Academic-year data shall be versioned.</w:t>
      </w:r>
    </w:p>
    <w:p>
      <w:pPr>
        <w:pStyle w:val="ListParagraph"/>
        <w:numPr>
          <w:ilvl w:val="0"/>
          <w:numId w:val="3"/>
        </w:numPr>
        <w:spacing w:after="60"/>
      </w:pPr>
      <w:r>
        <w:t xml:space="preserve">Administrative changes shall be auditable.</w:t>
      </w:r>
    </w:p>
    <w:p>
      <w:pPr>
        <w:pStyle w:val="ListParagraph"/>
        <w:numPr>
          <w:ilvl w:val="0"/>
          <w:numId w:val="3"/>
        </w:numPr>
        <w:spacing w:after="60"/>
      </w:pPr>
      <w:r>
        <w:t xml:space="preserve">Colours and typography shall be defined as shared design tokens.</w:t>
      </w:r>
    </w:p>
    <w:p>
      <w:pPr>
        <w:pStyle w:val="ListParagraph"/>
        <w:numPr>
          <w:ilvl w:val="0"/>
          <w:numId w:val="3"/>
        </w:numPr>
        <w:spacing w:after="60"/>
      </w:pPr>
      <w:r>
        <w:t xml:space="preserve">The codebase should separate frontend, backend and shared/domain models.</w:t>
      </w:r>
    </w:p>
    <w:p>
      <w:pPr>
        <w:pStyle w:val="Heading1"/>
      </w:pPr>
      <w:r>
        <w:t xml:space="preserve">13. Data Model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Entity</w:t>
            </w:r>
          </w:p>
        </w:tc>
        <w:tc>
          <w:tcPr>
            <w:tcW w:type="dxa" w:w="6026"/>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Purpose</w:t>
            </w:r>
          </w:p>
        </w:tc>
      </w:tr>
      <w:tr>
        <w:tc>
          <w:tcPr>
            <w:tcW w:type="dxa" w:w="3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User</w:t>
            </w:r>
          </w:p>
        </w:tc>
        <w:tc>
          <w:tcPr>
            <w:tcW w:type="dxa" w:w="60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Administrator authentication and identity.</w:t>
            </w:r>
          </w:p>
        </w:tc>
      </w:tr>
      <w:tr>
        <w:tc>
          <w:tcPr>
            <w:tcW w:type="dxa" w:w="3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University</w:t>
            </w:r>
          </w:p>
        </w:tc>
        <w:tc>
          <w:tcPr>
            <w:tcW w:type="dxa" w:w="60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Institution profile and official information.</w:t>
            </w:r>
          </w:p>
        </w:tc>
      </w:tr>
      <w:tr>
        <w:tc>
          <w:tcPr>
            <w:tcW w:type="dxa" w:w="3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Faculty/School</w:t>
            </w:r>
          </w:p>
        </w:tc>
        <w:tc>
          <w:tcPr>
            <w:tcW w:type="dxa" w:w="60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Organizational grouping under a university.</w:t>
            </w:r>
          </w:p>
        </w:tc>
      </w:tr>
      <w:tr>
        <w:tc>
          <w:tcPr>
            <w:tcW w:type="dxa" w:w="3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Programme</w:t>
            </w:r>
          </w:p>
        </w:tc>
        <w:tc>
          <w:tcPr>
            <w:tcW w:type="dxa" w:w="60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Base programme identity.</w:t>
            </w:r>
          </w:p>
        </w:tc>
      </w:tr>
      <w:tr>
        <w:tc>
          <w:tcPr>
            <w:tcW w:type="dxa" w:w="3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ProgrammeAdmissionCycle</w:t>
            </w:r>
          </w:p>
        </w:tc>
        <w:tc>
          <w:tcPr>
            <w:tcW w:type="dxa" w:w="60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Academic-year-specific programme information.</w:t>
            </w:r>
          </w:p>
        </w:tc>
      </w:tr>
      <w:tr>
        <w:tc>
          <w:tcPr>
            <w:tcW w:type="dxa" w:w="3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RequirementGroup</w:t>
            </w:r>
          </w:p>
        </w:tc>
        <w:tc>
          <w:tcPr>
            <w:tcW w:type="dxa" w:w="60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Logical grouping of admission rules.</w:t>
            </w:r>
          </w:p>
        </w:tc>
      </w:tr>
      <w:tr>
        <w:tc>
          <w:tcPr>
            <w:tcW w:type="dxa" w:w="3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RequirementRule</w:t>
            </w:r>
          </w:p>
        </w:tc>
        <w:tc>
          <w:tcPr>
            <w:tcW w:type="dxa" w:w="60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Individual subject/grade or eligibility rule.</w:t>
            </w:r>
          </w:p>
        </w:tc>
      </w:tr>
      <w:tr>
        <w:tc>
          <w:tcPr>
            <w:tcW w:type="dxa" w:w="3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Subject</w:t>
            </w:r>
          </w:p>
        </w:tc>
        <w:tc>
          <w:tcPr>
            <w:tcW w:type="dxa" w:w="60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Configured academic subject.</w:t>
            </w:r>
          </w:p>
        </w:tc>
      </w:tr>
      <w:tr>
        <w:tc>
          <w:tcPr>
            <w:tcW w:type="dxa" w:w="3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Grade</w:t>
            </w:r>
          </w:p>
        </w:tc>
        <w:tc>
          <w:tcPr>
            <w:tcW w:type="dxa" w:w="60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Configured grade and ordering.</w:t>
            </w:r>
          </w:p>
        </w:tc>
      </w:tr>
      <w:tr>
        <w:tc>
          <w:tcPr>
            <w:tcW w:type="dxa" w:w="3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Scholarship</w:t>
            </w:r>
          </w:p>
        </w:tc>
        <w:tc>
          <w:tcPr>
            <w:tcW w:type="dxa" w:w="60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Base scholarship identity and description.</w:t>
            </w:r>
          </w:p>
        </w:tc>
      </w:tr>
      <w:tr>
        <w:tc>
          <w:tcPr>
            <w:tcW w:type="dxa" w:w="3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ScholarshipCycle</w:t>
            </w:r>
          </w:p>
        </w:tc>
        <w:tc>
          <w:tcPr>
            <w:tcW w:type="dxa" w:w="60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Application-year-specific scholarship information.</w:t>
            </w:r>
          </w:p>
        </w:tc>
      </w:tr>
      <w:tr>
        <w:tc>
          <w:tcPr>
            <w:tcW w:type="dxa" w:w="3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ScholarshipRequirement</w:t>
            </w:r>
          </w:p>
        </w:tc>
        <w:tc>
          <w:tcPr>
            <w:tcW w:type="dxa" w:w="60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Scholarship eligibility conditions.</w:t>
            </w:r>
          </w:p>
        </w:tc>
      </w:tr>
      <w:tr>
        <w:tc>
          <w:tcPr>
            <w:tcW w:type="dxa" w:w="3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Source</w:t>
            </w:r>
          </w:p>
        </w:tc>
        <w:tc>
          <w:tcPr>
            <w:tcW w:type="dxa" w:w="60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Origin of published information.</w:t>
            </w:r>
          </w:p>
        </w:tc>
      </w:tr>
      <w:tr>
        <w:tc>
          <w:tcPr>
            <w:tcW w:type="dxa" w:w="3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VerificationRecord</w:t>
            </w:r>
          </w:p>
        </w:tc>
        <w:tc>
          <w:tcPr>
            <w:tcW w:type="dxa" w:w="60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Verification history and status.</w:t>
            </w:r>
          </w:p>
        </w:tc>
      </w:tr>
      <w:tr>
        <w:tc>
          <w:tcPr>
            <w:tcW w:type="dxa" w:w="3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AuditLog</w:t>
            </w:r>
          </w:p>
        </w:tc>
        <w:tc>
          <w:tcPr>
            <w:tcW w:type="dxa" w:w="60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Record of administrative changes.</w:t>
            </w:r>
          </w:p>
        </w:tc>
      </w:tr>
      <w:tr>
        <w:tc>
          <w:tcPr>
            <w:tcW w:type="dxa" w:w="3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UserReport</w:t>
            </w:r>
          </w:p>
        </w:tc>
        <w:tc>
          <w:tcPr>
            <w:tcW w:type="dxa" w:w="60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Public reports about potentially incorrect information.</w:t>
            </w:r>
          </w:p>
        </w:tc>
      </w:tr>
      <w:tr>
        <w:tc>
          <w:tcPr>
            <w:tcW w:type="dxa" w:w="3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Mentor</w:t>
            </w:r>
          </w:p>
        </w:tc>
        <w:tc>
          <w:tcPr>
            <w:tcW w:type="dxa" w:w="60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Mentor profile, background, verification status and active state.</w:t>
            </w:r>
          </w:p>
        </w:tc>
      </w:tr>
      <w:tr>
        <w:tc>
          <w:tcPr>
            <w:tcW w:type="dxa" w:w="3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MentorExpertise</w:t>
            </w:r>
          </w:p>
        </w:tc>
        <w:tc>
          <w:tcPr>
            <w:tcW w:type="dxa" w:w="60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Topics, fields and programme areas a mentor covers.</w:t>
            </w:r>
          </w:p>
        </w:tc>
      </w:tr>
      <w:tr>
        <w:tc>
          <w:tcPr>
            <w:tcW w:type="dxa" w:w="3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AvailabilitySlot</w:t>
            </w:r>
          </w:p>
        </w:tc>
        <w:tc>
          <w:tcPr>
            <w:tcW w:type="dxa" w:w="60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 bookable date and time for a mentor.</w:t>
            </w:r>
          </w:p>
        </w:tc>
      </w:tr>
      <w:tr>
        <w:tc>
          <w:tcPr>
            <w:tcW w:type="dxa" w:w="3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Booking</w:t>
            </w:r>
          </w:p>
        </w:tc>
        <w:tc>
          <w:tcPr>
            <w:tcW w:type="dxa" w:w="60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 confirmed session: reference, student name, email, topic, slot, status and meeting link.</w:t>
            </w:r>
          </w:p>
        </w:tc>
      </w:tr>
    </w:tbl>
    <w:p>
      <w:pPr>
        <w:spacing w:after="120"/>
      </w:pPr>
    </w:p>
    <w:p>
      <w:pPr>
        <w:spacing w:after="120"/>
      </w:pPr>
      <w:r>
        <w:t xml:space="preserve">A database-level uniqueness constraint on Booking per AvailabilitySlot shall enforce the no-double-booking requirement.</w:t>
      </w:r>
    </w:p>
    <w:p>
      <w:pPr>
        <w:pStyle w:val="Heading1"/>
      </w:pPr>
      <w:r>
        <w:t xml:space="preserve">14. API and System Architecture</w:t>
      </w:r>
    </w:p>
    <w:p>
      <w:pPr>
        <w:pStyle w:val="Heading2"/>
      </w:pPr>
      <w:r>
        <w:t xml:space="preserve">14.1 Recommended High-Level Architecture</w:t>
      </w:r>
    </w:p>
    <w:p>
      <w:pPr>
        <w:spacing w:after="120"/>
      </w:pPr>
      <w:r>
        <w:t xml:space="preserve">The system should use a separate frontend and backend architecture. A React + TypeScript frontend and API-based backend are suitable for the initial implementation.</w:t>
      </w:r>
    </w:p>
    <w:p>
      <w:pPr>
        <w:spacing w:after="120"/>
      </w:pPr>
      <w:r>
        <w:t xml:space="preserve">A relational database such as PostgreSQL is recommended because the platform contains structured relationships, academic cycles, rule trees, verification records, bookings and historical versions.</w:t>
      </w:r>
    </w:p>
    <w:p>
      <w:pPr>
        <w:pStyle w:val="Heading2"/>
      </w:pPr>
      <w:r>
        <w:t xml:space="preserve">14.2 Suggested Backend Domains</w:t>
      </w:r>
    </w:p>
    <w:p>
      <w:pPr>
        <w:pStyle w:val="ListParagraph"/>
        <w:numPr>
          <w:ilvl w:val="0"/>
          <w:numId w:val="3"/>
        </w:numPr>
        <w:spacing w:after="60"/>
      </w:pPr>
      <w:r>
        <w:t xml:space="preserve">Authentication and administration</w:t>
      </w:r>
    </w:p>
    <w:p>
      <w:pPr>
        <w:pStyle w:val="ListParagraph"/>
        <w:numPr>
          <w:ilvl w:val="0"/>
          <w:numId w:val="3"/>
        </w:numPr>
        <w:spacing w:after="60"/>
      </w:pPr>
      <w:r>
        <w:t xml:space="preserve">Universities</w:t>
      </w:r>
    </w:p>
    <w:p>
      <w:pPr>
        <w:pStyle w:val="ListParagraph"/>
        <w:numPr>
          <w:ilvl w:val="0"/>
          <w:numId w:val="3"/>
        </w:numPr>
        <w:spacing w:after="60"/>
      </w:pPr>
      <w:r>
        <w:t xml:space="preserve">Programmes</w:t>
      </w:r>
    </w:p>
    <w:p>
      <w:pPr>
        <w:pStyle w:val="ListParagraph"/>
        <w:numPr>
          <w:ilvl w:val="0"/>
          <w:numId w:val="3"/>
        </w:numPr>
        <w:spacing w:after="60"/>
      </w:pPr>
      <w:r>
        <w:t xml:space="preserve">Academic data</w:t>
      </w:r>
    </w:p>
    <w:p>
      <w:pPr>
        <w:pStyle w:val="ListParagraph"/>
        <w:numPr>
          <w:ilvl w:val="0"/>
          <w:numId w:val="3"/>
        </w:numPr>
        <w:spacing w:after="60"/>
      </w:pPr>
      <w:r>
        <w:t xml:space="preserve">Eligibility</w:t>
      </w:r>
    </w:p>
    <w:p>
      <w:pPr>
        <w:pStyle w:val="ListParagraph"/>
        <w:numPr>
          <w:ilvl w:val="0"/>
          <w:numId w:val="3"/>
        </w:numPr>
        <w:spacing w:after="60"/>
      </w:pPr>
      <w:r>
        <w:t xml:space="preserve">Scholarships</w:t>
      </w:r>
    </w:p>
    <w:p>
      <w:pPr>
        <w:pStyle w:val="ListParagraph"/>
        <w:numPr>
          <w:ilvl w:val="0"/>
          <w:numId w:val="3"/>
        </w:numPr>
        <w:spacing w:after="60"/>
      </w:pPr>
      <w:r>
        <w:t xml:space="preserve">Mentoring and bookings</w:t>
      </w:r>
    </w:p>
    <w:p>
      <w:pPr>
        <w:pStyle w:val="ListParagraph"/>
        <w:numPr>
          <w:ilvl w:val="0"/>
          <w:numId w:val="3"/>
        </w:numPr>
        <w:spacing w:after="60"/>
      </w:pPr>
      <w:r>
        <w:t xml:space="preserve">Search</w:t>
      </w:r>
    </w:p>
    <w:p>
      <w:pPr>
        <w:pStyle w:val="ListParagraph"/>
        <w:numPr>
          <w:ilvl w:val="0"/>
          <w:numId w:val="3"/>
        </w:numPr>
        <w:spacing w:after="60"/>
      </w:pPr>
      <w:r>
        <w:t xml:space="preserve">Verification</w:t>
      </w:r>
    </w:p>
    <w:p>
      <w:pPr>
        <w:pStyle w:val="ListParagraph"/>
        <w:numPr>
          <w:ilvl w:val="0"/>
          <w:numId w:val="3"/>
        </w:numPr>
        <w:spacing w:after="60"/>
      </w:pPr>
      <w:r>
        <w:t xml:space="preserve">Audit</w:t>
      </w:r>
    </w:p>
    <w:p>
      <w:pPr>
        <w:pStyle w:val="Heading2"/>
      </w:pPr>
      <w:r>
        <w:t xml:space="preserve">14.3 Example API Areas</w:t>
      </w:r>
    </w:p>
    <w:p>
      <w:pPr>
        <w:pStyle w:val="ListParagraph"/>
        <w:numPr>
          <w:ilvl w:val="0"/>
          <w:numId w:val="3"/>
        </w:numPr>
        <w:spacing w:after="60"/>
      </w:pPr>
      <w:r>
        <w:t xml:space="preserve">/api/universities</w:t>
      </w:r>
    </w:p>
    <w:p>
      <w:pPr>
        <w:pStyle w:val="ListParagraph"/>
        <w:numPr>
          <w:ilvl w:val="0"/>
          <w:numId w:val="3"/>
        </w:numPr>
        <w:spacing w:after="60"/>
      </w:pPr>
      <w:r>
        <w:t xml:space="preserve">/api/programmes</w:t>
      </w:r>
    </w:p>
    <w:p>
      <w:pPr>
        <w:pStyle w:val="ListParagraph"/>
        <w:numPr>
          <w:ilvl w:val="0"/>
          <w:numId w:val="3"/>
        </w:numPr>
        <w:spacing w:after="60"/>
      </w:pPr>
      <w:r>
        <w:t xml:space="preserve">/api/programmes/{id}/eligibility</w:t>
      </w:r>
    </w:p>
    <w:p>
      <w:pPr>
        <w:pStyle w:val="ListParagraph"/>
        <w:numPr>
          <w:ilvl w:val="0"/>
          <w:numId w:val="3"/>
        </w:numPr>
        <w:spacing w:after="60"/>
      </w:pPr>
      <w:r>
        <w:t xml:space="preserve">/api/eligibility/check</w:t>
      </w:r>
    </w:p>
    <w:p>
      <w:pPr>
        <w:pStyle w:val="ListParagraph"/>
        <w:numPr>
          <w:ilvl w:val="0"/>
          <w:numId w:val="3"/>
        </w:numPr>
        <w:spacing w:after="60"/>
      </w:pPr>
      <w:r>
        <w:t xml:space="preserve">/api/scholarships</w:t>
      </w:r>
    </w:p>
    <w:p>
      <w:pPr>
        <w:pStyle w:val="ListParagraph"/>
        <w:numPr>
          <w:ilvl w:val="0"/>
          <w:numId w:val="3"/>
        </w:numPr>
        <w:spacing w:after="60"/>
      </w:pPr>
      <w:r>
        <w:t xml:space="preserve">/api/subjects</w:t>
      </w:r>
    </w:p>
    <w:p>
      <w:pPr>
        <w:pStyle w:val="ListParagraph"/>
        <w:numPr>
          <w:ilvl w:val="0"/>
          <w:numId w:val="3"/>
        </w:numPr>
        <w:spacing w:after="60"/>
      </w:pPr>
      <w:r>
        <w:t xml:space="preserve">/api/grades</w:t>
      </w:r>
    </w:p>
    <w:p>
      <w:pPr>
        <w:pStyle w:val="ListParagraph"/>
        <w:numPr>
          <w:ilvl w:val="0"/>
          <w:numId w:val="3"/>
        </w:numPr>
        <w:spacing w:after="60"/>
      </w:pPr>
      <w:r>
        <w:t xml:space="preserve">/api/mentors</w:t>
      </w:r>
    </w:p>
    <w:p>
      <w:pPr>
        <w:pStyle w:val="ListParagraph"/>
        <w:numPr>
          <w:ilvl w:val="0"/>
          <w:numId w:val="3"/>
        </w:numPr>
        <w:spacing w:after="60"/>
      </w:pPr>
      <w:r>
        <w:t xml:space="preserve">/api/mentors/{id}/availability</w:t>
      </w:r>
    </w:p>
    <w:p>
      <w:pPr>
        <w:pStyle w:val="ListParagraph"/>
        <w:numPr>
          <w:ilvl w:val="0"/>
          <w:numId w:val="3"/>
        </w:numPr>
        <w:spacing w:after="60"/>
      </w:pPr>
      <w:r>
        <w:t xml:space="preserve">/api/bookings</w:t>
      </w:r>
    </w:p>
    <w:p>
      <w:pPr>
        <w:pStyle w:val="ListParagraph"/>
        <w:numPr>
          <w:ilvl w:val="0"/>
          <w:numId w:val="3"/>
        </w:numPr>
        <w:spacing w:after="60"/>
      </w:pPr>
      <w:r>
        <w:t xml:space="preserve">/api/reports</w:t>
      </w:r>
    </w:p>
    <w:p>
      <w:pPr>
        <w:pStyle w:val="ListParagraph"/>
        <w:numPr>
          <w:ilvl w:val="0"/>
          <w:numId w:val="3"/>
        </w:numPr>
        <w:spacing w:after="60"/>
      </w:pPr>
      <w:r>
        <w:t xml:space="preserve">/api/admin/*</w:t>
      </w:r>
    </w:p>
    <w:p>
      <w:pPr>
        <w:pStyle w:val="ListParagraph"/>
        <w:numPr>
          <w:ilvl w:val="0"/>
          <w:numId w:val="3"/>
        </w:numPr>
        <w:spacing w:after="60"/>
      </w:pPr>
      <w:r>
        <w:t xml:space="preserve">/api/verification/*</w:t>
      </w:r>
    </w:p>
    <w:p>
      <w:pPr>
        <w:pStyle w:val="Heading2"/>
      </w:pPr>
      <w:r>
        <w:t xml:space="preserve">14.4 Search</w:t>
      </w:r>
    </w:p>
    <w:p>
      <w:pPr>
        <w:spacing w:after="120"/>
      </w:pPr>
      <w:r>
        <w:t xml:space="preserve">The initial version may use PostgreSQL search capabilities. A dedicated search engine can be introduced later if scale or relevance requirements justify it.</w:t>
      </w:r>
    </w:p>
    <w:p>
      <w:pPr>
        <w:pStyle w:val="Heading2"/>
      </w:pPr>
      <w:r>
        <w:t xml:space="preserve">14.5 Email</w:t>
      </w:r>
    </w:p>
    <w:p>
      <w:pPr>
        <w:spacing w:after="120"/>
      </w:pPr>
      <w:r>
        <w:t xml:space="preserve">The system shall integrate with a transactional email service to send booking confirmations. No other outbound notifications are required in the initial release.</w:t>
      </w:r>
    </w:p>
    <w:p>
      <w:pPr>
        <w:pStyle w:val="Heading1"/>
      </w:pPr>
      <w:r>
        <w:t xml:space="preserve">15. Security and Privacy</w:t>
      </w:r>
    </w:p>
    <w:p>
      <w:pPr>
        <w:pStyle w:val="ListParagraph"/>
        <w:numPr>
          <w:ilvl w:val="0"/>
          <w:numId w:val="3"/>
        </w:numPr>
        <w:spacing w:after="60"/>
      </w:pPr>
      <w:r>
        <w:t xml:space="preserve">All administrator authentication shall use secure credential handling.</w:t>
      </w:r>
    </w:p>
    <w:p>
      <w:pPr>
        <w:pStyle w:val="ListParagraph"/>
        <w:numPr>
          <w:ilvl w:val="0"/>
          <w:numId w:val="3"/>
        </w:numPr>
        <w:spacing w:after="60"/>
      </w:pPr>
      <w:r>
        <w:t xml:space="preserve">Passwords shall be stored using a modern password-hashing algorithm.</w:t>
      </w:r>
    </w:p>
    <w:p>
      <w:pPr>
        <w:pStyle w:val="ListParagraph"/>
        <w:numPr>
          <w:ilvl w:val="0"/>
          <w:numId w:val="3"/>
        </w:numPr>
        <w:spacing w:after="60"/>
      </w:pPr>
      <w:r>
        <w:t xml:space="preserve">All production traffic shall use HTTPS.</w:t>
      </w:r>
    </w:p>
    <w:p>
      <w:pPr>
        <w:pStyle w:val="ListParagraph"/>
        <w:numPr>
          <w:ilvl w:val="0"/>
          <w:numId w:val="3"/>
        </w:numPr>
        <w:spacing w:after="60"/>
      </w:pPr>
      <w:r>
        <w:t xml:space="preserve">Administrative APIs shall enforce authorization server-side.</w:t>
      </w:r>
    </w:p>
    <w:p>
      <w:pPr>
        <w:pStyle w:val="ListParagraph"/>
        <w:numPr>
          <w:ilvl w:val="0"/>
          <w:numId w:val="3"/>
        </w:numPr>
        <w:spacing w:after="60"/>
      </w:pPr>
      <w:r>
        <w:t xml:space="preserve">Inputs shall be validated on both client and server where appropriate.</w:t>
      </w:r>
    </w:p>
    <w:p>
      <w:pPr>
        <w:pStyle w:val="ListParagraph"/>
        <w:numPr>
          <w:ilvl w:val="0"/>
          <w:numId w:val="3"/>
        </w:numPr>
        <w:spacing w:after="60"/>
      </w:pPr>
      <w:r>
        <w:t xml:space="preserve">Administrative endpoints shall be protected against common web attacks.</w:t>
      </w:r>
    </w:p>
    <w:p>
      <w:pPr>
        <w:pStyle w:val="ListParagraph"/>
        <w:numPr>
          <w:ilvl w:val="0"/>
          <w:numId w:val="3"/>
        </w:numPr>
        <w:spacing w:after="60"/>
      </w:pPr>
      <w:r>
        <w:t xml:space="preserve">Rate limiting should be applied to sensitive endpoints, including booking creation.</w:t>
      </w:r>
    </w:p>
    <w:p>
      <w:pPr>
        <w:pStyle w:val="ListParagraph"/>
        <w:numPr>
          <w:ilvl w:val="0"/>
          <w:numId w:val="3"/>
        </w:numPr>
        <w:spacing w:after="60"/>
      </w:pPr>
      <w:r>
        <w:t xml:space="preserve">Student result data shall not be publicly indexed or exposed.</w:t>
      </w:r>
    </w:p>
    <w:p>
      <w:pPr>
        <w:pStyle w:val="ListParagraph"/>
        <w:numPr>
          <w:ilvl w:val="0"/>
          <w:numId w:val="3"/>
        </w:numPr>
        <w:spacing w:after="60"/>
      </w:pPr>
      <w:r>
        <w:t xml:space="preserve">The platform should minimize collection and retention of student personal data.</w:t>
      </w:r>
    </w:p>
    <w:p>
      <w:pPr>
        <w:pStyle w:val="ListParagraph"/>
        <w:numPr>
          <w:ilvl w:val="0"/>
          <w:numId w:val="3"/>
        </w:numPr>
        <w:spacing w:after="60"/>
      </w:pPr>
      <w:r>
        <w:t xml:space="preserve">If temporary result sessions are stored server-side, they shall have a defined retention/expiration policy.</w:t>
      </w:r>
    </w:p>
    <w:p>
      <w:pPr>
        <w:pStyle w:val="ListParagraph"/>
        <w:numPr>
          <w:ilvl w:val="0"/>
          <w:numId w:val="3"/>
        </w:numPr>
        <w:spacing w:after="60"/>
      </w:pPr>
      <w:r>
        <w:t xml:space="preserve">Booking personal data (student name and email) shall be used only to deliver the session, shall be visible only to administrators and the assigned mentor, and shall be deleted or anonymized after a defined retention period (see Section 23).</w:t>
      </w:r>
    </w:p>
    <w:p>
      <w:pPr>
        <w:pStyle w:val="ListParagraph"/>
        <w:numPr>
          <w:ilvl w:val="0"/>
          <w:numId w:val="3"/>
        </w:numPr>
        <w:spacing w:after="60"/>
      </w:pPr>
      <w:r>
        <w:t xml:space="preserve">Administrative changes to requirements, scholarship and mentor data shall be auditable.</w:t>
      </w:r>
    </w:p>
    <w:p>
      <w:pPr>
        <w:pStyle w:val="Heading2"/>
      </w:pPr>
      <w:r>
        <w:t xml:space="preserve">15.1 Transparency</w:t>
      </w:r>
    </w:p>
    <w:p>
      <w:pPr>
        <w:spacing w:after="120"/>
      </w:pPr>
      <w:r>
        <w:t xml:space="preserve">The platform shall clearly state that its eligibility assessment is based on the requirements stored in the platform and that final admission decisions are made by the relevant institution.</w:t>
      </w:r>
    </w:p>
    <w:p>
      <w:pPr>
        <w:pStyle w:val="Heading1"/>
      </w:pPr>
      <w:r>
        <w:t xml:space="preserve">16. Analytics and Monitoring</w:t>
      </w:r>
    </w:p>
    <w:p>
      <w:pPr>
        <w:pStyle w:val="ListParagraph"/>
        <w:numPr>
          <w:ilvl w:val="0"/>
          <w:numId w:val="3"/>
        </w:numPr>
        <w:spacing w:after="60"/>
      </w:pPr>
      <w:r>
        <w:t xml:space="preserve">The administrator should be able to view total programme, scholarship and mentor records.</w:t>
      </w:r>
    </w:p>
    <w:p>
      <w:pPr>
        <w:pStyle w:val="ListParagraph"/>
        <w:numPr>
          <w:ilvl w:val="0"/>
          <w:numId w:val="3"/>
        </w:numPr>
        <w:spacing w:after="60"/>
      </w:pPr>
      <w:r>
        <w:t xml:space="preserve">The administrator should be able to view published, draft, expired and archived records.</w:t>
      </w:r>
    </w:p>
    <w:p>
      <w:pPr>
        <w:pStyle w:val="ListParagraph"/>
        <w:numPr>
          <w:ilvl w:val="0"/>
          <w:numId w:val="3"/>
        </w:numPr>
        <w:spacing w:after="60"/>
      </w:pPr>
      <w:r>
        <w:t xml:space="preserve">The administrator should be able to view booking volumes by mentor and topic.</w:t>
      </w:r>
    </w:p>
    <w:p>
      <w:pPr>
        <w:pStyle w:val="ListParagraph"/>
        <w:numPr>
          <w:ilvl w:val="0"/>
          <w:numId w:val="3"/>
        </w:numPr>
        <w:spacing w:after="60"/>
      </w:pPr>
      <w:r>
        <w:t xml:space="preserve">The system should track popular programme searches without exposing individual student results.</w:t>
      </w:r>
    </w:p>
    <w:p>
      <w:pPr>
        <w:pStyle w:val="ListParagraph"/>
        <w:numPr>
          <w:ilvl w:val="0"/>
          <w:numId w:val="3"/>
        </w:numPr>
        <w:spacing w:after="60"/>
      </w:pPr>
      <w:r>
        <w:t xml:space="preserve">The system should track popular scholarship views where privacy requirements permit.</w:t>
      </w:r>
    </w:p>
    <w:p>
      <w:pPr>
        <w:pStyle w:val="ListParagraph"/>
        <w:numPr>
          <w:ilvl w:val="0"/>
          <w:numId w:val="3"/>
        </w:numPr>
        <w:spacing w:after="60"/>
      </w:pPr>
      <w:r>
        <w:t xml:space="preserve">The system should monitor broken or invalid official links where technically feasible.</w:t>
      </w:r>
    </w:p>
    <w:p>
      <w:pPr>
        <w:pStyle w:val="ListParagraph"/>
        <w:numPr>
          <w:ilvl w:val="0"/>
          <w:numId w:val="3"/>
        </w:numPr>
        <w:spacing w:after="60"/>
      </w:pPr>
      <w:r>
        <w:t xml:space="preserve">The system should monitor application errors, backend failures and email delivery failures.</w:t>
      </w:r>
    </w:p>
    <w:p>
      <w:pPr>
        <w:pStyle w:val="Heading1"/>
      </w:pPr>
      <w:r>
        <w:t xml:space="preserve">17. MVP Scope</w:t>
      </w:r>
    </w:p>
    <w:p>
      <w:pPr>
        <w:pStyle w:val="Heading2"/>
      </w:pPr>
      <w:r>
        <w:t xml:space="preserve">17.1 MVP Public Features</w:t>
      </w:r>
    </w:p>
    <w:p>
      <w:pPr>
        <w:pStyle w:val="ListParagraph"/>
        <w:numPr>
          <w:ilvl w:val="0"/>
          <w:numId w:val="3"/>
        </w:numPr>
        <w:spacing w:after="60"/>
      </w:pPr>
      <w:r>
        <w:t xml:space="preserve">Homepage</w:t>
      </w:r>
    </w:p>
    <w:p>
      <w:pPr>
        <w:pStyle w:val="ListParagraph"/>
        <w:numPr>
          <w:ilvl w:val="0"/>
          <w:numId w:val="3"/>
        </w:numPr>
        <w:spacing w:after="60"/>
      </w:pPr>
      <w:r>
        <w:t xml:space="preserve">Navigation as defined in Section 11.4</w:t>
      </w:r>
    </w:p>
    <w:p>
      <w:pPr>
        <w:pStyle w:val="ListParagraph"/>
        <w:numPr>
          <w:ilvl w:val="0"/>
          <w:numId w:val="3"/>
        </w:numPr>
        <w:spacing w:after="60"/>
      </w:pPr>
      <w:r>
        <w:t xml:space="preserve">WASSCE results entry</w:t>
      </w:r>
    </w:p>
    <w:p>
      <w:pPr>
        <w:pStyle w:val="ListParagraph"/>
        <w:numPr>
          <w:ilvl w:val="0"/>
          <w:numId w:val="3"/>
        </w:numPr>
        <w:spacing w:after="60"/>
      </w:pPr>
      <w:r>
        <w:t xml:space="preserve">Eligibility checking</w:t>
      </w:r>
    </w:p>
    <w:p>
      <w:pPr>
        <w:pStyle w:val="ListParagraph"/>
        <w:numPr>
          <w:ilvl w:val="0"/>
          <w:numId w:val="3"/>
        </w:numPr>
        <w:spacing w:after="60"/>
      </w:pPr>
      <w:r>
        <w:t xml:space="preserve">Eligibility explanations</w:t>
      </w:r>
    </w:p>
    <w:p>
      <w:pPr>
        <w:pStyle w:val="ListParagraph"/>
        <w:numPr>
          <w:ilvl w:val="0"/>
          <w:numId w:val="3"/>
        </w:numPr>
        <w:spacing w:after="60"/>
      </w:pPr>
      <w:r>
        <w:t xml:space="preserve">Programme search</w:t>
      </w:r>
    </w:p>
    <w:p>
      <w:pPr>
        <w:pStyle w:val="ListParagraph"/>
        <w:numPr>
          <w:ilvl w:val="0"/>
          <w:numId w:val="3"/>
        </w:numPr>
        <w:spacing w:after="60"/>
      </w:pPr>
      <w:r>
        <w:t xml:space="preserve">Programme details</w:t>
      </w:r>
    </w:p>
    <w:p>
      <w:pPr>
        <w:pStyle w:val="ListParagraph"/>
        <w:numPr>
          <w:ilvl w:val="0"/>
          <w:numId w:val="3"/>
        </w:numPr>
        <w:spacing w:after="60"/>
      </w:pPr>
      <w:r>
        <w:t xml:space="preserve">University directory and profiles</w:t>
      </w:r>
    </w:p>
    <w:p>
      <w:pPr>
        <w:pStyle w:val="ListParagraph"/>
        <w:numPr>
          <w:ilvl w:val="0"/>
          <w:numId w:val="3"/>
        </w:numPr>
        <w:spacing w:after="60"/>
      </w:pPr>
      <w:r>
        <w:t xml:space="preserve">Scholarship search</w:t>
      </w:r>
    </w:p>
    <w:p>
      <w:pPr>
        <w:pStyle w:val="ListParagraph"/>
        <w:numPr>
          <w:ilvl w:val="0"/>
          <w:numId w:val="3"/>
        </w:numPr>
        <w:spacing w:after="60"/>
      </w:pPr>
      <w:r>
        <w:t xml:space="preserve">Scholarship details</w:t>
      </w:r>
    </w:p>
    <w:p>
      <w:pPr>
        <w:pStyle w:val="ListParagraph"/>
        <w:numPr>
          <w:ilvl w:val="0"/>
          <w:numId w:val="3"/>
        </w:numPr>
        <w:spacing w:after="60"/>
      </w:pPr>
      <w:r>
        <w:t xml:space="preserve">Mentor directory and profiles</w:t>
      </w:r>
    </w:p>
    <w:p>
      <w:pPr>
        <w:pStyle w:val="ListParagraph"/>
        <w:numPr>
          <w:ilvl w:val="0"/>
          <w:numId w:val="3"/>
        </w:numPr>
        <w:spacing w:after="60"/>
      </w:pPr>
      <w:r>
        <w:t xml:space="preserve">Mentoring session booking with confirmation</w:t>
      </w:r>
    </w:p>
    <w:p>
      <w:pPr>
        <w:pStyle w:val="ListParagraph"/>
        <w:numPr>
          <w:ilvl w:val="0"/>
          <w:numId w:val="3"/>
        </w:numPr>
        <w:spacing w:after="60"/>
      </w:pPr>
      <w:r>
        <w:t xml:space="preserve">Official application links</w:t>
      </w:r>
    </w:p>
    <w:p>
      <w:pPr>
        <w:pStyle w:val="ListParagraph"/>
        <w:numPr>
          <w:ilvl w:val="0"/>
          <w:numId w:val="3"/>
        </w:numPr>
        <w:spacing w:after="60"/>
      </w:pPr>
      <w:r>
        <w:t xml:space="preserve">Academic-year display</w:t>
      </w:r>
    </w:p>
    <w:p>
      <w:pPr>
        <w:pStyle w:val="ListParagraph"/>
        <w:numPr>
          <w:ilvl w:val="0"/>
          <w:numId w:val="3"/>
        </w:numPr>
        <w:spacing w:after="60"/>
      </w:pPr>
      <w:r>
        <w:t xml:space="preserve">Verification/source display</w:t>
      </w:r>
    </w:p>
    <w:p>
      <w:pPr>
        <w:pStyle w:val="ListParagraph"/>
        <w:numPr>
          <w:ilvl w:val="0"/>
          <w:numId w:val="3"/>
        </w:numPr>
        <w:spacing w:after="60"/>
      </w:pPr>
      <w:r>
        <w:t xml:space="preserve">Report incorrect information</w:t>
      </w:r>
    </w:p>
    <w:p>
      <w:pPr>
        <w:pStyle w:val="Heading2"/>
      </w:pPr>
      <w:r>
        <w:t xml:space="preserve">17.2 MVP Admin Features</w:t>
      </w:r>
    </w:p>
    <w:p>
      <w:pPr>
        <w:pStyle w:val="ListParagraph"/>
        <w:numPr>
          <w:ilvl w:val="0"/>
          <w:numId w:val="3"/>
        </w:numPr>
        <w:spacing w:after="60"/>
      </w:pPr>
      <w:r>
        <w:t xml:space="preserve">Administrator login</w:t>
      </w:r>
    </w:p>
    <w:p>
      <w:pPr>
        <w:pStyle w:val="ListParagraph"/>
        <w:numPr>
          <w:ilvl w:val="0"/>
          <w:numId w:val="3"/>
        </w:numPr>
        <w:spacing w:after="60"/>
      </w:pPr>
      <w:r>
        <w:t xml:space="preserve">Dashboard</w:t>
      </w:r>
    </w:p>
    <w:p>
      <w:pPr>
        <w:pStyle w:val="ListParagraph"/>
        <w:numPr>
          <w:ilvl w:val="0"/>
          <w:numId w:val="3"/>
        </w:numPr>
        <w:spacing w:after="60"/>
      </w:pPr>
      <w:r>
        <w:t xml:space="preserve">University CRUD</w:t>
      </w:r>
    </w:p>
    <w:p>
      <w:pPr>
        <w:pStyle w:val="ListParagraph"/>
        <w:numPr>
          <w:ilvl w:val="0"/>
          <w:numId w:val="3"/>
        </w:numPr>
        <w:spacing w:after="60"/>
      </w:pPr>
      <w:r>
        <w:t xml:space="preserve">Programme CRUD</w:t>
      </w:r>
    </w:p>
    <w:p>
      <w:pPr>
        <w:pStyle w:val="ListParagraph"/>
        <w:numPr>
          <w:ilvl w:val="0"/>
          <w:numId w:val="3"/>
        </w:numPr>
        <w:spacing w:after="60"/>
      </w:pPr>
      <w:r>
        <w:t xml:space="preserve">Academic cycle management</w:t>
      </w:r>
    </w:p>
    <w:p>
      <w:pPr>
        <w:pStyle w:val="ListParagraph"/>
        <w:numPr>
          <w:ilvl w:val="0"/>
          <w:numId w:val="3"/>
        </w:numPr>
        <w:spacing w:after="60"/>
      </w:pPr>
      <w:r>
        <w:t xml:space="preserve">Subject and grade management</w:t>
      </w:r>
    </w:p>
    <w:p>
      <w:pPr>
        <w:pStyle w:val="ListParagraph"/>
        <w:numPr>
          <w:ilvl w:val="0"/>
          <w:numId w:val="3"/>
        </w:numPr>
        <w:spacing w:after="60"/>
      </w:pPr>
      <w:r>
        <w:t xml:space="preserve">Requirement rule builder</w:t>
      </w:r>
    </w:p>
    <w:p>
      <w:pPr>
        <w:pStyle w:val="ListParagraph"/>
        <w:numPr>
          <w:ilvl w:val="0"/>
          <w:numId w:val="3"/>
        </w:numPr>
        <w:spacing w:after="60"/>
      </w:pPr>
      <w:r>
        <w:t xml:space="preserve">Scholarship CRUD</w:t>
      </w:r>
    </w:p>
    <w:p>
      <w:pPr>
        <w:pStyle w:val="ListParagraph"/>
        <w:numPr>
          <w:ilvl w:val="0"/>
          <w:numId w:val="3"/>
        </w:numPr>
        <w:spacing w:after="60"/>
      </w:pPr>
      <w:r>
        <w:t xml:space="preserve">Mentor CRUD and availability management</w:t>
      </w:r>
    </w:p>
    <w:p>
      <w:pPr>
        <w:pStyle w:val="ListParagraph"/>
        <w:numPr>
          <w:ilvl w:val="0"/>
          <w:numId w:val="3"/>
        </w:numPr>
        <w:spacing w:after="60"/>
      </w:pPr>
      <w:r>
        <w:t xml:space="preserve">Booking management</w:t>
      </w:r>
    </w:p>
    <w:p>
      <w:pPr>
        <w:pStyle w:val="ListParagraph"/>
        <w:numPr>
          <w:ilvl w:val="0"/>
          <w:numId w:val="3"/>
        </w:numPr>
        <w:spacing w:after="60"/>
      </w:pPr>
      <w:r>
        <w:t xml:space="preserve">Verification management</w:t>
      </w:r>
    </w:p>
    <w:p>
      <w:pPr>
        <w:pStyle w:val="ListParagraph"/>
        <w:numPr>
          <w:ilvl w:val="0"/>
          <w:numId w:val="3"/>
        </w:numPr>
        <w:spacing w:after="60"/>
      </w:pPr>
      <w:r>
        <w:t xml:space="preserve">Publishing/archiving</w:t>
      </w:r>
    </w:p>
    <w:p>
      <w:pPr>
        <w:pStyle w:val="ListParagraph"/>
        <w:numPr>
          <w:ilvl w:val="0"/>
          <w:numId w:val="3"/>
        </w:numPr>
        <w:spacing w:after="60"/>
      </w:pPr>
      <w:r>
        <w:t xml:space="preserve">Audit logs</w:t>
      </w:r>
    </w:p>
    <w:p>
      <w:pPr>
        <w:pStyle w:val="Heading2"/>
      </w:pPr>
      <w:r>
        <w:t xml:space="preserve">17.3 Explicitly Deferred</w:t>
      </w:r>
    </w:p>
    <w:p>
      <w:pPr>
        <w:pStyle w:val="ListParagraph"/>
        <w:numPr>
          <w:ilvl w:val="0"/>
          <w:numId w:val="3"/>
        </w:numPr>
        <w:spacing w:after="60"/>
      </w:pPr>
      <w:r>
        <w:t xml:space="preserve">Student registration</w:t>
      </w:r>
    </w:p>
    <w:p>
      <w:pPr>
        <w:pStyle w:val="ListParagraph"/>
        <w:numPr>
          <w:ilvl w:val="0"/>
          <w:numId w:val="3"/>
        </w:numPr>
        <w:spacing w:after="60"/>
      </w:pPr>
      <w:r>
        <w:t xml:space="preserve">Student profiles</w:t>
      </w:r>
    </w:p>
    <w:p>
      <w:pPr>
        <w:pStyle w:val="ListParagraph"/>
        <w:numPr>
          <w:ilvl w:val="0"/>
          <w:numId w:val="3"/>
        </w:numPr>
        <w:spacing w:after="60"/>
      </w:pPr>
      <w:r>
        <w:t xml:space="preserve">Saved programmes</w:t>
      </w:r>
    </w:p>
    <w:p>
      <w:pPr>
        <w:pStyle w:val="ListParagraph"/>
        <w:numPr>
          <w:ilvl w:val="0"/>
          <w:numId w:val="3"/>
        </w:numPr>
        <w:spacing w:after="60"/>
      </w:pPr>
      <w:r>
        <w:t xml:space="preserve">Saved scholarships</w:t>
      </w:r>
    </w:p>
    <w:p>
      <w:pPr>
        <w:pStyle w:val="ListParagraph"/>
        <w:numPr>
          <w:ilvl w:val="0"/>
          <w:numId w:val="3"/>
        </w:numPr>
        <w:spacing w:after="60"/>
      </w:pPr>
      <w:r>
        <w:t xml:space="preserve">Email/WhatsApp notifications (other than booking confirmation)</w:t>
      </w:r>
    </w:p>
    <w:p>
      <w:pPr>
        <w:pStyle w:val="ListParagraph"/>
        <w:numPr>
          <w:ilvl w:val="0"/>
          <w:numId w:val="3"/>
        </w:numPr>
        <w:spacing w:after="60"/>
      </w:pPr>
      <w:r>
        <w:t xml:space="preserve">University accounts</w:t>
      </w:r>
    </w:p>
    <w:p>
      <w:pPr>
        <w:pStyle w:val="ListParagraph"/>
        <w:numPr>
          <w:ilvl w:val="0"/>
          <w:numId w:val="3"/>
        </w:numPr>
        <w:spacing w:after="60"/>
      </w:pPr>
      <w:r>
        <w:t xml:space="preserve">Scholarship-provider accounts</w:t>
      </w:r>
    </w:p>
    <w:p>
      <w:pPr>
        <w:pStyle w:val="ListParagraph"/>
        <w:numPr>
          <w:ilvl w:val="0"/>
          <w:numId w:val="3"/>
        </w:numPr>
        <w:spacing w:after="60"/>
      </w:pPr>
      <w:r>
        <w:t xml:space="preserve">Mentor self-service accounts</w:t>
      </w:r>
    </w:p>
    <w:p>
      <w:pPr>
        <w:pStyle w:val="ListParagraph"/>
        <w:numPr>
          <w:ilvl w:val="0"/>
          <w:numId w:val="3"/>
        </w:numPr>
        <w:spacing w:after="60"/>
      </w:pPr>
      <w:r>
        <w:t xml:space="preserve">AI assistant</w:t>
      </w:r>
    </w:p>
    <w:p>
      <w:pPr>
        <w:pStyle w:val="ListParagraph"/>
        <w:numPr>
          <w:ilvl w:val="0"/>
          <w:numId w:val="3"/>
        </w:numPr>
        <w:spacing w:after="60"/>
      </w:pPr>
      <w:r>
        <w:t xml:space="preserve">Advanced personalization</w:t>
      </w:r>
    </w:p>
    <w:p>
      <w:pPr>
        <w:pStyle w:val="ListParagraph"/>
        <w:numPr>
          <w:ilvl w:val="0"/>
          <w:numId w:val="3"/>
        </w:numPr>
        <w:spacing w:after="60"/>
      </w:pPr>
      <w:r>
        <w:t xml:space="preserve">Direct application submission</w:t>
      </w:r>
    </w:p>
    <w:p>
      <w:pPr>
        <w:pStyle w:val="Heading1"/>
      </w:pPr>
      <w:r>
        <w:t xml:space="preserve">18. Future Enhancements</w:t>
      </w:r>
    </w:p>
    <w:p>
      <w:pPr>
        <w:pStyle w:val="ListParagraph"/>
        <w:numPr>
          <w:ilvl w:val="0"/>
          <w:numId w:val="3"/>
        </w:numPr>
        <w:spacing w:after="60"/>
      </w:pPr>
      <w:r>
        <w:t xml:space="preserve">Optional student accounts and saved searches</w:t>
      </w:r>
    </w:p>
    <w:p>
      <w:pPr>
        <w:pStyle w:val="ListParagraph"/>
        <w:numPr>
          <w:ilvl w:val="0"/>
          <w:numId w:val="3"/>
        </w:numPr>
        <w:spacing w:after="60"/>
      </w:pPr>
      <w:r>
        <w:t xml:space="preserve">Shareable temporary results sessions</w:t>
      </w:r>
    </w:p>
    <w:p>
      <w:pPr>
        <w:pStyle w:val="ListParagraph"/>
        <w:numPr>
          <w:ilvl w:val="0"/>
          <w:numId w:val="3"/>
        </w:numPr>
        <w:spacing w:after="60"/>
      </w:pPr>
      <w:r>
        <w:t xml:space="preserve">Programme comparison</w:t>
      </w:r>
    </w:p>
    <w:p>
      <w:pPr>
        <w:pStyle w:val="ListParagraph"/>
        <w:numPr>
          <w:ilvl w:val="0"/>
          <w:numId w:val="3"/>
        </w:numPr>
        <w:spacing w:after="60"/>
      </w:pPr>
      <w:r>
        <w:t xml:space="preserve">Deadline reminders</w:t>
      </w:r>
    </w:p>
    <w:p>
      <w:pPr>
        <w:pStyle w:val="ListParagraph"/>
        <w:numPr>
          <w:ilvl w:val="0"/>
          <w:numId w:val="3"/>
        </w:numPr>
        <w:spacing w:after="60"/>
      </w:pPr>
      <w:r>
        <w:t xml:space="preserve">Email and WhatsApp notifications</w:t>
      </w:r>
    </w:p>
    <w:p>
      <w:pPr>
        <w:pStyle w:val="ListParagraph"/>
        <w:numPr>
          <w:ilvl w:val="0"/>
          <w:numId w:val="3"/>
        </w:numPr>
        <w:spacing w:after="60"/>
      </w:pPr>
      <w:r>
        <w:t xml:space="preserve">Interest-based programme discovery</w:t>
      </w:r>
    </w:p>
    <w:p>
      <w:pPr>
        <w:pStyle w:val="ListParagraph"/>
        <w:numPr>
          <w:ilvl w:val="0"/>
          <w:numId w:val="3"/>
        </w:numPr>
        <w:spacing w:after="60"/>
      </w:pPr>
      <w:r>
        <w:t xml:space="preserve">Scholarship matching</w:t>
      </w:r>
    </w:p>
    <w:p>
      <w:pPr>
        <w:pStyle w:val="ListParagraph"/>
        <w:numPr>
          <w:ilvl w:val="0"/>
          <w:numId w:val="3"/>
        </w:numPr>
        <w:spacing w:after="60"/>
      </w:pPr>
      <w:r>
        <w:t xml:space="preserve">Guidance counsellor accounts</w:t>
      </w:r>
    </w:p>
    <w:p>
      <w:pPr>
        <w:pStyle w:val="ListParagraph"/>
        <w:numPr>
          <w:ilvl w:val="0"/>
          <w:numId w:val="3"/>
        </w:numPr>
        <w:spacing w:after="60"/>
      </w:pPr>
      <w:r>
        <w:t xml:space="preserve">Mentor self-service portal for availability and session notes</w:t>
      </w:r>
    </w:p>
    <w:p>
      <w:pPr>
        <w:pStyle w:val="ListParagraph"/>
        <w:numPr>
          <w:ilvl w:val="0"/>
          <w:numId w:val="3"/>
        </w:numPr>
        <w:spacing w:after="60"/>
      </w:pPr>
      <w:r>
        <w:t xml:space="preserve">Session reminders and calendar integration</w:t>
      </w:r>
    </w:p>
    <w:p>
      <w:pPr>
        <w:pStyle w:val="ListParagraph"/>
        <w:numPr>
          <w:ilvl w:val="0"/>
          <w:numId w:val="3"/>
        </w:numPr>
        <w:spacing w:after="60"/>
      </w:pPr>
      <w:r>
        <w:t xml:space="preserve">University-claimed profiles</w:t>
      </w:r>
    </w:p>
    <w:p>
      <w:pPr>
        <w:pStyle w:val="ListParagraph"/>
        <w:numPr>
          <w:ilvl w:val="0"/>
          <w:numId w:val="3"/>
        </w:numPr>
        <w:spacing w:after="60"/>
      </w:pPr>
      <w:r>
        <w:t xml:space="preserve">University self-service content management</w:t>
      </w:r>
    </w:p>
    <w:p>
      <w:pPr>
        <w:pStyle w:val="ListParagraph"/>
        <w:numPr>
          <w:ilvl w:val="0"/>
          <w:numId w:val="3"/>
        </w:numPr>
        <w:spacing w:after="60"/>
      </w:pPr>
      <w:r>
        <w:t xml:space="preserve">Scholarship-provider portals</w:t>
      </w:r>
    </w:p>
    <w:p>
      <w:pPr>
        <w:pStyle w:val="ListParagraph"/>
        <w:numPr>
          <w:ilvl w:val="0"/>
          <w:numId w:val="3"/>
        </w:numPr>
        <w:spacing w:after="60"/>
      </w:pPr>
      <w:r>
        <w:t xml:space="preserve">AI-powered programme exploration using verified platform data</w:t>
      </w:r>
    </w:p>
    <w:p>
      <w:pPr>
        <w:pStyle w:val="ListParagraph"/>
        <w:numPr>
          <w:ilvl w:val="0"/>
          <w:numId w:val="3"/>
        </w:numPr>
        <w:spacing w:after="60"/>
      </w:pPr>
      <w:r>
        <w:t xml:space="preserve">Application tracking</w:t>
      </w:r>
    </w:p>
    <w:p>
      <w:pPr>
        <w:pStyle w:val="ListParagraph"/>
        <w:numPr>
          <w:ilvl w:val="0"/>
          <w:numId w:val="3"/>
        </w:numPr>
        <w:spacing w:after="60"/>
      </w:pPr>
      <w:r>
        <w:t xml:space="preserve">Advanced analytics</w:t>
      </w:r>
    </w:p>
    <w:p>
      <w:pPr>
        <w:pStyle w:val="Heading1"/>
      </w:pPr>
      <w:r>
        <w:t xml:space="preserve">19. 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826"/>
        <w:gridCol w:w="1200"/>
      </w:tblGrid>
      <w:tr>
        <w:trPr>
          <w:tblHeader/>
        </w:trPr>
        <w:tc>
          <w:tcPr>
            <w:tcW w:type="dxa" w:w="1000"/>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ID</w:t>
            </w:r>
          </w:p>
        </w:tc>
        <w:tc>
          <w:tcPr>
            <w:tcW w:type="dxa" w:w="6826"/>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Acceptance Criterion</w:t>
            </w:r>
          </w:p>
        </w:tc>
        <w:tc>
          <w:tcPr>
            <w:tcW w:type="dxa" w:w="1200"/>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Test</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AC-01</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 public user can enter valid WASSCE results without registering.</w:t>
            </w:r>
          </w:p>
        </w:tc>
        <w:tc>
          <w:tcPr>
            <w:tcW w:type="dxa" w:w="1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Pass/Fail</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AC-02</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The system evaluates entered results against the correct academic-year programme requirements.</w:t>
            </w:r>
          </w:p>
        </w:tc>
        <w:tc>
          <w:tcPr>
            <w:tcW w:type="dxa" w:w="1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Pass/Fail</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AC-03</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Eligibility results identify satisfied and unsatisfied requirements.</w:t>
            </w:r>
          </w:p>
        </w:tc>
        <w:tc>
          <w:tcPr>
            <w:tcW w:type="dxa" w:w="1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Pass/Fail</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AC-04</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The engine correctly handles AND and OR requirement groups.</w:t>
            </w:r>
          </w:p>
        </w:tc>
        <w:tc>
          <w:tcPr>
            <w:tcW w:type="dxa" w:w="1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Pass/Fail</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AC-05</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 programme can have different requirements for different academic years.</w:t>
            </w:r>
          </w:p>
        </w:tc>
        <w:tc>
          <w:tcPr>
            <w:tcW w:type="dxa" w:w="1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Pass/Fail</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AC-06</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The administrator can create and publish a university.</w:t>
            </w:r>
          </w:p>
        </w:tc>
        <w:tc>
          <w:tcPr>
            <w:tcW w:type="dxa" w:w="1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Pass/Fail</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AC-07</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The administrator can create a programme and configure its requirements.</w:t>
            </w:r>
          </w:p>
        </w:tc>
        <w:tc>
          <w:tcPr>
            <w:tcW w:type="dxa" w:w="1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Pass/Fail</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AC-08</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The administrator can create and publish a scholarship with a deadline.</w:t>
            </w:r>
          </w:p>
        </w:tc>
        <w:tc>
          <w:tcPr>
            <w:tcW w:type="dxa" w:w="1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Pass/Fail</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AC-09</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Public users can search and filter programmes.</w:t>
            </w:r>
          </w:p>
        </w:tc>
        <w:tc>
          <w:tcPr>
            <w:tcW w:type="dxa" w:w="1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Pass/Fail</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AC-10</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Public users can search and filter scholarships.</w:t>
            </w:r>
          </w:p>
        </w:tc>
        <w:tc>
          <w:tcPr>
            <w:tcW w:type="dxa" w:w="1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Pass/Fail</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AC-11</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Published programme and scholarship records show source/verification information.</w:t>
            </w:r>
          </w:p>
        </w:tc>
        <w:tc>
          <w:tcPr>
            <w:tcW w:type="dxa" w:w="1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Pass/Fail</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AC-12</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Expired scholarship records are not presented as currently open.</w:t>
            </w:r>
          </w:p>
        </w:tc>
        <w:tc>
          <w:tcPr>
            <w:tcW w:type="dxa" w:w="1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Pass/Fail</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AC-13</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Administrative changes are recorded in audit logs.</w:t>
            </w:r>
          </w:p>
        </w:tc>
        <w:tc>
          <w:tcPr>
            <w:tcW w:type="dxa" w:w="1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Pass/Fail</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AC-14</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Student results are not publicly exposed through normal browsing or search.</w:t>
            </w:r>
          </w:p>
        </w:tc>
        <w:tc>
          <w:tcPr>
            <w:tcW w:type="dxa" w:w="1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Pass/Fail</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AC-15</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 public user can browse available mentors without registering.</w:t>
            </w:r>
          </w:p>
        </w:tc>
        <w:tc>
          <w:tcPr>
            <w:tcW w:type="dxa" w:w="1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Pass/Fail</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AC-16</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 public user can view a mentor profile and available time slots.</w:t>
            </w:r>
          </w:p>
        </w:tc>
        <w:tc>
          <w:tcPr>
            <w:tcW w:type="dxa" w:w="1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Pass/Fail</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AC-17</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 public user can book an available session without creating an account.</w:t>
            </w:r>
          </w:p>
        </w:tc>
        <w:tc>
          <w:tcPr>
            <w:tcW w:type="dxa" w:w="1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Pass/Fail</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AC-18</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The system prevents double-booking of a mentor slot.</w:t>
            </w:r>
          </w:p>
        </w:tc>
        <w:tc>
          <w:tcPr>
            <w:tcW w:type="dxa" w:w="1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Pass/Fail</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AC-19</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 successful booking generates a unique booking reference and sends a confirmation email.</w:t>
            </w:r>
          </w:p>
        </w:tc>
        <w:tc>
          <w:tcPr>
            <w:tcW w:type="dxa" w:w="1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Pass/Fail</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AC-20</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The administrator can create, edit, activate and deactivate mentors.</w:t>
            </w:r>
          </w:p>
        </w:tc>
        <w:tc>
          <w:tcPr>
            <w:tcW w:type="dxa" w:w="1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Pass/Fail</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AC-21</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The administrator can manage mentor availability and view bookings.</w:t>
            </w:r>
          </w:p>
        </w:tc>
        <w:tc>
          <w:tcPr>
            <w:tcW w:type="dxa" w:w="1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Pass/Fail</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AC-22</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Mentoring pages clearly state that mentors provide guidance and do not guarantee admission or scholarship outcomes.</w:t>
            </w:r>
          </w:p>
        </w:tc>
        <w:tc>
          <w:tcPr>
            <w:tcW w:type="dxa" w:w="1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Pass/Fail</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AC-23</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The navigation bar shows the logo and the five items in Section 11.4, with Check Eligibility styled as the primary button.</w:t>
            </w:r>
          </w:p>
        </w:tc>
        <w:tc>
          <w:tcPr>
            <w:tcW w:type="dxa" w:w="1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Pass/Fail</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AC-24</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Each eligibility status is shown with the colour, icon and text label defined in Section 11.6.</w:t>
            </w:r>
          </w:p>
        </w:tc>
        <w:tc>
          <w:tcPr>
            <w:tcW w:type="dxa" w:w="1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Pass/Fail</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AC-25</w:t>
            </w:r>
          </w:p>
        </w:tc>
        <w:tc>
          <w:tcPr>
            <w:tcW w:type="dxa" w:w="68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All text and background colour pairings meet WCAG AA contrast.</w:t>
            </w:r>
          </w:p>
        </w:tc>
        <w:tc>
          <w:tcPr>
            <w:tcW w:type="dxa" w:w="12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Pass/Fail</w:t>
            </w:r>
          </w:p>
        </w:tc>
      </w:tr>
    </w:tbl>
    <w:p>
      <w:pPr>
        <w:spacing w:after="120"/>
      </w:pPr>
    </w:p>
    <w:p>
      <w:pPr>
        <w:pStyle w:val="Heading1"/>
      </w:pPr>
      <w:r>
        <w:t xml:space="preserve">20. Risks and Assumptions</w:t>
      </w:r>
    </w:p>
    <w:p>
      <w:pPr>
        <w:pStyle w:val="Heading2"/>
      </w:pPr>
      <w:r>
        <w:t xml:space="preserve">20.1 Key Risks</w:t>
      </w:r>
    </w:p>
    <w:p>
      <w:pPr>
        <w:pStyle w:val="ListParagraph"/>
        <w:numPr>
          <w:ilvl w:val="0"/>
          <w:numId w:val="3"/>
        </w:numPr>
        <w:spacing w:after="60"/>
      </w:pPr>
      <w:r>
        <w:t xml:space="preserve">University admission requirements can change between academic years.</w:t>
      </w:r>
    </w:p>
    <w:p>
      <w:pPr>
        <w:pStyle w:val="ListParagraph"/>
        <w:numPr>
          <w:ilvl w:val="0"/>
          <w:numId w:val="3"/>
        </w:numPr>
        <w:spacing w:after="60"/>
      </w:pPr>
      <w:r>
        <w:t xml:space="preserve">Some admission requirements may be ambiguous or difficult to represent as machine-readable rules.</w:t>
      </w:r>
    </w:p>
    <w:p>
      <w:pPr>
        <w:pStyle w:val="ListParagraph"/>
        <w:numPr>
          <w:ilvl w:val="0"/>
          <w:numId w:val="3"/>
        </w:numPr>
        <w:spacing w:after="60"/>
      </w:pPr>
      <w:r>
        <w:t xml:space="preserve">Incorrect or outdated source information could lead users to make poor application decisions.</w:t>
      </w:r>
    </w:p>
    <w:p>
      <w:pPr>
        <w:pStyle w:val="ListParagraph"/>
        <w:numPr>
          <w:ilvl w:val="0"/>
          <w:numId w:val="3"/>
        </w:numPr>
        <w:spacing w:after="60"/>
      </w:pPr>
      <w:r>
        <w:t xml:space="preserve">Application deadlines may change after publication.</w:t>
      </w:r>
    </w:p>
    <w:p>
      <w:pPr>
        <w:pStyle w:val="ListParagraph"/>
        <w:numPr>
          <w:ilvl w:val="0"/>
          <w:numId w:val="3"/>
        </w:numPr>
        <w:spacing w:after="60"/>
      </w:pPr>
      <w:r>
        <w:t xml:space="preserve">Different institutions may use different terminology for equivalent subjects or qualifications.</w:t>
      </w:r>
    </w:p>
    <w:p>
      <w:pPr>
        <w:pStyle w:val="ListParagraph"/>
        <w:numPr>
          <w:ilvl w:val="0"/>
          <w:numId w:val="3"/>
        </w:numPr>
        <w:spacing w:after="60"/>
      </w:pPr>
      <w:r>
        <w:t xml:space="preserve">Mentors may miss sessions or give inaccurate guidance.</w:t>
      </w:r>
    </w:p>
    <w:p>
      <w:pPr>
        <w:pStyle w:val="ListParagraph"/>
        <w:numPr>
          <w:ilvl w:val="0"/>
          <w:numId w:val="3"/>
        </w:numPr>
        <w:spacing w:after="60"/>
      </w:pPr>
      <w:r>
        <w:t xml:space="preserve">Booking data introduces personal data handling obligations.</w:t>
      </w:r>
    </w:p>
    <w:p>
      <w:pPr>
        <w:pStyle w:val="Heading2"/>
      </w:pPr>
      <w:r>
        <w:t xml:space="preserve">20.2 Mitigations</w:t>
      </w:r>
    </w:p>
    <w:p>
      <w:pPr>
        <w:pStyle w:val="ListParagraph"/>
        <w:numPr>
          <w:ilvl w:val="0"/>
          <w:numId w:val="3"/>
        </w:numPr>
        <w:spacing w:after="60"/>
      </w:pPr>
      <w:r>
        <w:t xml:space="preserve">Use academic-year-specific records.</w:t>
      </w:r>
    </w:p>
    <w:p>
      <w:pPr>
        <w:pStyle w:val="ListParagraph"/>
        <w:numPr>
          <w:ilvl w:val="0"/>
          <w:numId w:val="3"/>
        </w:numPr>
        <w:spacing w:after="60"/>
      </w:pPr>
      <w:r>
        <w:t xml:space="preserve">Use structured rule groups and a Needs Review state.</w:t>
      </w:r>
    </w:p>
    <w:p>
      <w:pPr>
        <w:pStyle w:val="ListParagraph"/>
        <w:numPr>
          <w:ilvl w:val="0"/>
          <w:numId w:val="3"/>
        </w:numPr>
        <w:spacing w:after="60"/>
      </w:pPr>
      <w:r>
        <w:t xml:space="preserve">Store official source references and verification dates.</w:t>
      </w:r>
    </w:p>
    <w:p>
      <w:pPr>
        <w:pStyle w:val="ListParagraph"/>
        <w:numPr>
          <w:ilvl w:val="0"/>
          <w:numId w:val="3"/>
        </w:numPr>
        <w:spacing w:after="60"/>
      </w:pPr>
      <w:r>
        <w:t xml:space="preserve">Maintain publication and archival workflows.</w:t>
      </w:r>
    </w:p>
    <w:p>
      <w:pPr>
        <w:pStyle w:val="ListParagraph"/>
        <w:numPr>
          <w:ilvl w:val="0"/>
          <w:numId w:val="3"/>
        </w:numPr>
        <w:spacing w:after="60"/>
      </w:pPr>
      <w:r>
        <w:t xml:space="preserve">Provide visible disclaimers and official application links.</w:t>
      </w:r>
    </w:p>
    <w:p>
      <w:pPr>
        <w:pStyle w:val="ListParagraph"/>
        <w:numPr>
          <w:ilvl w:val="0"/>
          <w:numId w:val="3"/>
        </w:numPr>
        <w:spacing w:after="60"/>
      </w:pPr>
      <w:r>
        <w:t xml:space="preserve">Allow users to report incorrect information.</w:t>
      </w:r>
    </w:p>
    <w:p>
      <w:pPr>
        <w:pStyle w:val="ListParagraph"/>
        <w:numPr>
          <w:ilvl w:val="0"/>
          <w:numId w:val="3"/>
        </w:numPr>
        <w:spacing w:after="60"/>
      </w:pPr>
      <w:r>
        <w:t xml:space="preserve">Maintain audit history for administrative changes.</w:t>
      </w:r>
    </w:p>
    <w:p>
      <w:pPr>
        <w:pStyle w:val="ListParagraph"/>
        <w:numPr>
          <w:ilvl w:val="0"/>
          <w:numId w:val="3"/>
        </w:numPr>
        <w:spacing w:after="60"/>
      </w:pPr>
      <w:r>
        <w:t xml:space="preserve">Verify mentors before activation and collect post-session feedback.</w:t>
      </w:r>
    </w:p>
    <w:p>
      <w:pPr>
        <w:pStyle w:val="ListParagraph"/>
        <w:numPr>
          <w:ilvl w:val="0"/>
          <w:numId w:val="3"/>
        </w:numPr>
        <w:spacing w:after="60"/>
      </w:pPr>
      <w:r>
        <w:t xml:space="preserve">Apply a defined retention period to booking data.</w:t>
      </w:r>
    </w:p>
    <w:p>
      <w:pPr>
        <w:pStyle w:val="Heading2"/>
      </w:pPr>
      <w:r>
        <w:t xml:space="preserve">20.3 Assumptions</w:t>
      </w:r>
    </w:p>
    <w:p>
      <w:pPr>
        <w:pStyle w:val="ListParagraph"/>
        <w:numPr>
          <w:ilvl w:val="0"/>
          <w:numId w:val="3"/>
        </w:numPr>
        <w:spacing w:after="60"/>
      </w:pPr>
      <w:r>
        <w:t xml:space="preserve">The initial market is Ghanaian SHS graduates and applicants to Ghanaian tertiary institutions.</w:t>
      </w:r>
    </w:p>
    <w:p>
      <w:pPr>
        <w:pStyle w:val="ListParagraph"/>
        <w:numPr>
          <w:ilvl w:val="0"/>
          <w:numId w:val="3"/>
        </w:numPr>
        <w:spacing w:after="60"/>
      </w:pPr>
      <w:r>
        <w:t xml:space="preserve">The platform owner manually researches and maintains programme, scholarship and mentor information.</w:t>
      </w:r>
    </w:p>
    <w:p>
      <w:pPr>
        <w:pStyle w:val="ListParagraph"/>
        <w:numPr>
          <w:ilvl w:val="0"/>
          <w:numId w:val="3"/>
        </w:numPr>
        <w:spacing w:after="60"/>
      </w:pPr>
      <w:r>
        <w:t xml:space="preserve">The official institution/provider remains the authoritative source for final admission and scholarship decisions.</w:t>
      </w:r>
    </w:p>
    <w:p>
      <w:pPr>
        <w:pStyle w:val="ListParagraph"/>
        <w:numPr>
          <w:ilvl w:val="0"/>
          <w:numId w:val="3"/>
        </w:numPr>
        <w:spacing w:after="60"/>
      </w:pPr>
      <w:r>
        <w:t xml:space="preserve">The initial product does not require student accounts.</w:t>
      </w:r>
    </w:p>
    <w:p>
      <w:pPr>
        <w:pStyle w:val="ListParagraph"/>
        <w:numPr>
          <w:ilvl w:val="0"/>
          <w:numId w:val="3"/>
        </w:numPr>
        <w:spacing w:after="60"/>
      </w:pPr>
      <w:r>
        <w:t xml:space="preserve">The initial platform does not submit applications on behalf of users.</w:t>
      </w:r>
    </w:p>
    <w:p>
      <w:pPr>
        <w:pStyle w:val="ListParagraph"/>
        <w:numPr>
          <w:ilvl w:val="0"/>
          <w:numId w:val="3"/>
        </w:numPr>
        <w:spacing w:after="60"/>
      </w:pPr>
      <w:r>
        <w:t xml:space="preserve">Mentoring sessions are free to students in the initial release.</w:t>
      </w:r>
    </w:p>
    <w:p>
      <w:pPr>
        <w:pStyle w:val="Heading1"/>
      </w:pPr>
      <w:r>
        <w:t xml:space="preserve">21. Mentoring and One-on-One Guidance</w:t>
      </w:r>
    </w:p>
    <w:p>
      <w:pPr>
        <w:spacing w:after="120"/>
      </w:pPr>
      <w:r>
        <w:t xml:space="preserve">The platform shall provide an optional one-on-one mentoring service connecting SHS graduates with verified mentors for educational and programme-selection guidance. Mentors provide information and guidance to help students make their own decisions; they shall not guarantee admission, make admissions decisions, or present a particular programme or institution as objectively best for a student. Mentoring is part of the MVP.</w:t>
      </w:r>
    </w:p>
    <w:p>
      <w:pPr>
        <w:pStyle w:val="Heading2"/>
      </w:pPr>
      <w:r>
        <w:t xml:space="preserve">21.1 Public Mentor Discovery</w:t>
      </w:r>
    </w:p>
    <w:p>
      <w:pPr>
        <w:pStyle w:val="ListParagraph"/>
        <w:numPr>
          <w:ilvl w:val="0"/>
          <w:numId w:val="3"/>
        </w:numPr>
        <w:spacing w:after="60"/>
      </w:pPr>
      <w:r>
        <w:t xml:space="preserve">Users shall be able to browse available mentors without creating an account.</w:t>
      </w:r>
    </w:p>
    <w:p>
      <w:pPr>
        <w:pStyle w:val="ListParagraph"/>
        <w:numPr>
          <w:ilvl w:val="0"/>
          <w:numId w:val="3"/>
        </w:numPr>
        <w:spacing w:after="60"/>
      </w:pPr>
      <w:r>
        <w:t xml:space="preserve">Users shall be able to view mentor profiles.</w:t>
      </w:r>
    </w:p>
    <w:p>
      <w:pPr>
        <w:pStyle w:val="ListParagraph"/>
        <w:numPr>
          <w:ilvl w:val="0"/>
          <w:numId w:val="3"/>
        </w:numPr>
        <w:spacing w:after="60"/>
      </w:pPr>
      <w:r>
        <w:t xml:space="preserve">Mentor profiles shall display the mentor's name, profile photo where available, biography, areas of expertise and relevant academic or career background.</w:t>
      </w:r>
    </w:p>
    <w:p>
      <w:pPr>
        <w:pStyle w:val="ListParagraph"/>
        <w:numPr>
          <w:ilvl w:val="0"/>
          <w:numId w:val="3"/>
        </w:numPr>
        <w:spacing w:after="60"/>
      </w:pPr>
      <w:r>
        <w:t xml:space="preserve">Mentor profiles shall display the subjects, fields or programme areas in which the mentor provides guidance.</w:t>
      </w:r>
    </w:p>
    <w:p>
      <w:pPr>
        <w:pStyle w:val="ListParagraph"/>
        <w:numPr>
          <w:ilvl w:val="0"/>
          <w:numId w:val="3"/>
        </w:numPr>
        <w:spacing w:after="60"/>
      </w:pPr>
      <w:r>
        <w:t xml:space="preserve">The system should display mentor verification status where applicable.</w:t>
      </w:r>
    </w:p>
    <w:p>
      <w:pPr>
        <w:pStyle w:val="ListParagraph"/>
        <w:numPr>
          <w:ilvl w:val="0"/>
          <w:numId w:val="3"/>
        </w:numPr>
        <w:spacing w:after="60"/>
      </w:pPr>
      <w:r>
        <w:t xml:space="preserve">Users should be able to filter mentors by topic or field.</w:t>
      </w:r>
    </w:p>
    <w:p>
      <w:pPr>
        <w:pStyle w:val="Heading2"/>
      </w:pPr>
      <w:r>
        <w:t xml:space="preserve">21.2 Mentoring Topics</w:t>
      </w:r>
    </w:p>
    <w:p>
      <w:pPr>
        <w:pStyle w:val="ListParagraph"/>
        <w:numPr>
          <w:ilvl w:val="0"/>
          <w:numId w:val="3"/>
        </w:numPr>
        <w:spacing w:after="60"/>
      </w:pPr>
      <w:r>
        <w:t xml:space="preserve">Choosing a university programme</w:t>
      </w:r>
    </w:p>
    <w:p>
      <w:pPr>
        <w:pStyle w:val="ListParagraph"/>
        <w:numPr>
          <w:ilvl w:val="0"/>
          <w:numId w:val="3"/>
        </w:numPr>
        <w:spacing w:after="60"/>
      </w:pPr>
      <w:r>
        <w:t xml:space="preserve">Understanding WASSCE results and programme requirements</w:t>
      </w:r>
    </w:p>
    <w:p>
      <w:pPr>
        <w:pStyle w:val="ListParagraph"/>
        <w:numPr>
          <w:ilvl w:val="0"/>
          <w:numId w:val="3"/>
        </w:numPr>
        <w:spacing w:after="60"/>
      </w:pPr>
      <w:r>
        <w:t xml:space="preserve">Exploring academic and career options</w:t>
      </w:r>
    </w:p>
    <w:p>
      <w:pPr>
        <w:pStyle w:val="ListParagraph"/>
        <w:numPr>
          <w:ilvl w:val="0"/>
          <w:numId w:val="3"/>
        </w:numPr>
        <w:spacing w:after="60"/>
      </w:pPr>
      <w:r>
        <w:t xml:space="preserve">Comparing programmes</w:t>
      </w:r>
    </w:p>
    <w:p>
      <w:pPr>
        <w:pStyle w:val="ListParagraph"/>
        <w:numPr>
          <w:ilvl w:val="0"/>
          <w:numId w:val="3"/>
        </w:numPr>
        <w:spacing w:after="60"/>
      </w:pPr>
      <w:r>
        <w:t xml:space="preserve">University application guidance</w:t>
      </w:r>
    </w:p>
    <w:p>
      <w:pPr>
        <w:pStyle w:val="ListParagraph"/>
        <w:numPr>
          <w:ilvl w:val="0"/>
          <w:numId w:val="3"/>
        </w:numPr>
        <w:spacing w:after="60"/>
      </w:pPr>
      <w:r>
        <w:t xml:space="preserve">Scholarship guidance</w:t>
      </w:r>
    </w:p>
    <w:p>
      <w:pPr>
        <w:pStyle w:val="ListParagraph"/>
        <w:numPr>
          <w:ilvl w:val="0"/>
          <w:numId w:val="3"/>
        </w:numPr>
        <w:spacing w:after="60"/>
      </w:pPr>
      <w:r>
        <w:t xml:space="preserve">General university guidance</w:t>
      </w:r>
    </w:p>
    <w:p>
      <w:pPr>
        <w:pStyle w:val="Heading2"/>
      </w:pPr>
      <w:r>
        <w:t xml:space="preserve">21.3 Mentor Availability and Booking</w:t>
      </w:r>
    </w:p>
    <w:p>
      <w:pPr>
        <w:pStyle w:val="ListParagraph"/>
        <w:numPr>
          <w:ilvl w:val="0"/>
          <w:numId w:val="3"/>
        </w:numPr>
        <w:spacing w:after="60"/>
      </w:pPr>
      <w:r>
        <w:t xml:space="preserve">The system shall display a mentor's available dates and time slots.</w:t>
      </w:r>
    </w:p>
    <w:p>
      <w:pPr>
        <w:pStyle w:val="ListParagraph"/>
        <w:numPr>
          <w:ilvl w:val="0"/>
          <w:numId w:val="3"/>
        </w:numPr>
        <w:spacing w:after="60"/>
      </w:pPr>
      <w:r>
        <w:t xml:space="preserve">The system shall allow a user to select an available session slot.</w:t>
      </w:r>
    </w:p>
    <w:p>
      <w:pPr>
        <w:pStyle w:val="ListParagraph"/>
        <w:numPr>
          <w:ilvl w:val="0"/>
          <w:numId w:val="3"/>
        </w:numPr>
        <w:spacing w:after="60"/>
      </w:pPr>
      <w:r>
        <w:t xml:space="preserve">The system shall prevent two users from booking the same mentor time slot.</w:t>
      </w:r>
    </w:p>
    <w:p>
      <w:pPr>
        <w:pStyle w:val="ListParagraph"/>
        <w:numPr>
          <w:ilvl w:val="0"/>
          <w:numId w:val="3"/>
        </w:numPr>
        <w:spacing w:after="60"/>
      </w:pPr>
      <w:r>
        <w:t xml:space="preserve">The system should support configurable session durations, such as 30, 45 or 60 minutes.</w:t>
      </w:r>
    </w:p>
    <w:p>
      <w:pPr>
        <w:pStyle w:val="ListParagraph"/>
        <w:numPr>
          <w:ilvl w:val="0"/>
          <w:numId w:val="3"/>
        </w:numPr>
        <w:spacing w:after="60"/>
      </w:pPr>
      <w:r>
        <w:t xml:space="preserve">The initial release may use a single configured session duration for simplicity.</w:t>
      </w:r>
    </w:p>
    <w:p>
      <w:pPr>
        <w:pStyle w:val="ListParagraph"/>
        <w:numPr>
          <w:ilvl w:val="0"/>
          <w:numId w:val="3"/>
        </w:numPr>
        <w:spacing w:after="60"/>
      </w:pPr>
      <w:r>
        <w:t xml:space="preserve">The system shall allow users to provide basic booking information without creating a student account.</w:t>
      </w:r>
    </w:p>
    <w:p>
      <w:pPr>
        <w:pStyle w:val="ListParagraph"/>
        <w:numPr>
          <w:ilvl w:val="0"/>
          <w:numId w:val="3"/>
        </w:numPr>
        <w:spacing w:after="60"/>
      </w:pPr>
      <w:r>
        <w:t xml:space="preserve">Booking information shall include at minimum the student's name, email address and selected session topic.</w:t>
      </w:r>
    </w:p>
    <w:p>
      <w:pPr>
        <w:pStyle w:val="ListParagraph"/>
        <w:numPr>
          <w:ilvl w:val="0"/>
          <w:numId w:val="3"/>
        </w:numPr>
        <w:spacing w:after="60"/>
      </w:pPr>
      <w:r>
        <w:t xml:space="preserve">The system shall generate a unique booking reference.</w:t>
      </w:r>
    </w:p>
    <w:p>
      <w:pPr>
        <w:pStyle w:val="ListParagraph"/>
        <w:numPr>
          <w:ilvl w:val="0"/>
          <w:numId w:val="3"/>
        </w:numPr>
        <w:spacing w:after="60"/>
      </w:pPr>
      <w:r>
        <w:t xml:space="preserve">The system shall provide on-screen booking confirmation and send a confirmation email after a successful booking.</w:t>
      </w:r>
    </w:p>
    <w:p>
      <w:pPr>
        <w:pStyle w:val="ListParagraph"/>
        <w:numPr>
          <w:ilvl w:val="0"/>
          <w:numId w:val="3"/>
        </w:numPr>
        <w:spacing w:after="60"/>
      </w:pPr>
      <w:r>
        <w:t xml:space="preserve">The system should support cancellation and rescheduling according to administrator-configured rules.</w:t>
      </w:r>
    </w:p>
    <w:p>
      <w:pPr>
        <w:pStyle w:val="ListParagraph"/>
        <w:numPr>
          <w:ilvl w:val="0"/>
          <w:numId w:val="3"/>
        </w:numPr>
        <w:spacing w:after="60"/>
      </w:pPr>
      <w:r>
        <w:t xml:space="preserve">The system should support an online meeting link for virtual sessions.</w:t>
      </w:r>
    </w:p>
    <w:p>
      <w:pPr>
        <w:pStyle w:val="Heading2"/>
      </w:pPr>
      <w:r>
        <w:t xml:space="preserve">21.4 Mentor Administration</w:t>
      </w:r>
    </w:p>
    <w:p>
      <w:pPr>
        <w:pStyle w:val="ListParagraph"/>
        <w:numPr>
          <w:ilvl w:val="0"/>
          <w:numId w:val="3"/>
        </w:numPr>
        <w:spacing w:after="60"/>
      </w:pPr>
      <w:r>
        <w:t xml:space="preserve">The administrator shall be able to create, edit, activate, deactivate and archive mentor profiles.</w:t>
      </w:r>
    </w:p>
    <w:p>
      <w:pPr>
        <w:pStyle w:val="ListParagraph"/>
        <w:numPr>
          <w:ilvl w:val="0"/>
          <w:numId w:val="3"/>
        </w:numPr>
        <w:spacing w:after="60"/>
      </w:pPr>
      <w:r>
        <w:t xml:space="preserve">The administrator shall be able to manage mentor areas of expertise and availability.</w:t>
      </w:r>
    </w:p>
    <w:p>
      <w:pPr>
        <w:pStyle w:val="ListParagraph"/>
        <w:numPr>
          <w:ilvl w:val="0"/>
          <w:numId w:val="3"/>
        </w:numPr>
        <w:spacing w:after="60"/>
      </w:pPr>
      <w:r>
        <w:t xml:space="preserve">The administrator shall be able to view and manage bookings.</w:t>
      </w:r>
    </w:p>
    <w:p>
      <w:pPr>
        <w:pStyle w:val="ListParagraph"/>
        <w:numPr>
          <w:ilvl w:val="0"/>
          <w:numId w:val="3"/>
        </w:numPr>
        <w:spacing w:after="60"/>
      </w:pPr>
      <w:r>
        <w:t xml:space="preserve">The administrator shall be able to configure session duration and meeting information.</w:t>
      </w:r>
    </w:p>
    <w:p>
      <w:pPr>
        <w:pStyle w:val="ListParagraph"/>
        <w:numPr>
          <w:ilvl w:val="0"/>
          <w:numId w:val="3"/>
        </w:numPr>
        <w:spacing w:after="60"/>
      </w:pPr>
      <w:r>
        <w:t xml:space="preserve">The administrator should be able to view session history and manage post-session feedback.</w:t>
      </w:r>
    </w:p>
    <w:p>
      <w:pPr>
        <w:pStyle w:val="Heading2"/>
      </w:pPr>
      <w:r>
        <w:t xml:space="preserve">21.5 Mentoring Boundaries and Transparency</w:t>
      </w:r>
    </w:p>
    <w:p>
      <w:pPr>
        <w:pStyle w:val="ListParagraph"/>
        <w:numPr>
          <w:ilvl w:val="0"/>
          <w:numId w:val="3"/>
        </w:numPr>
        <w:spacing w:after="60"/>
      </w:pPr>
      <w:r>
        <w:t xml:space="preserve">The platform shall clearly state that mentoring provides guidance and information, not guaranteed admission or scholarship outcomes.</w:t>
      </w:r>
    </w:p>
    <w:p>
      <w:pPr>
        <w:pStyle w:val="ListParagraph"/>
        <w:numPr>
          <w:ilvl w:val="0"/>
          <w:numId w:val="3"/>
        </w:numPr>
        <w:spacing w:after="60"/>
      </w:pPr>
      <w:r>
        <w:t xml:space="preserve">Mentors shall not represent themselves as having authority to make university admission decisions unless officially authorized by the relevant institution.</w:t>
      </w:r>
    </w:p>
    <w:p>
      <w:pPr>
        <w:pStyle w:val="ListParagraph"/>
        <w:numPr>
          <w:ilvl w:val="0"/>
          <w:numId w:val="3"/>
        </w:numPr>
        <w:spacing w:after="60"/>
      </w:pPr>
      <w:r>
        <w:t xml:space="preserve">Mentors shall not guarantee that a student will be admitted to a programme or receive a scholarship.</w:t>
      </w:r>
    </w:p>
    <w:p>
      <w:pPr>
        <w:pStyle w:val="ListParagraph"/>
        <w:numPr>
          <w:ilvl w:val="0"/>
          <w:numId w:val="3"/>
        </w:numPr>
        <w:spacing w:after="60"/>
      </w:pPr>
      <w:r>
        <w:t xml:space="preserve">The platform should encourage students to verify final admission and scholarship decisions with the relevant official institution or provider.</w:t>
      </w:r>
    </w:p>
    <w:p>
      <w:pPr>
        <w:pStyle w:val="ListParagraph"/>
        <w:numPr>
          <w:ilvl w:val="0"/>
          <w:numId w:val="3"/>
        </w:numPr>
        <w:spacing w:after="60"/>
      </w:pPr>
      <w:r>
        <w:t xml:space="preserve">Mentoring recommendations shall support student decision-making rather than replace the student's own judgment.</w:t>
      </w:r>
    </w:p>
    <w:p>
      <w:pPr>
        <w:pStyle w:val="Heading2"/>
      </w:pPr>
      <w:r>
        <w:t xml:space="preserve">21.6 Mentoring User Journey</w:t>
      </w:r>
    </w:p>
    <w:p>
      <w:pPr>
        <w:pStyle w:val="ListParagraph"/>
        <w:numPr>
          <w:ilvl w:val="0"/>
          <w:numId w:val="5"/>
        </w:numPr>
        <w:spacing w:after="60"/>
      </w:pPr>
      <w:r>
        <w:t xml:space="preserve">User selects 'Find a Mentor' from the navigation bar.</w:t>
      </w:r>
    </w:p>
    <w:p>
      <w:pPr>
        <w:pStyle w:val="ListParagraph"/>
        <w:numPr>
          <w:ilvl w:val="0"/>
          <w:numId w:val="5"/>
        </w:numPr>
        <w:spacing w:after="60"/>
      </w:pPr>
      <w:r>
        <w:t xml:space="preserve">User browses or filters mentors.</w:t>
      </w:r>
    </w:p>
    <w:p>
      <w:pPr>
        <w:pStyle w:val="ListParagraph"/>
        <w:numPr>
          <w:ilvl w:val="0"/>
          <w:numId w:val="5"/>
        </w:numPr>
        <w:spacing w:after="60"/>
      </w:pPr>
      <w:r>
        <w:t xml:space="preserve">User opens a mentor profile.</w:t>
      </w:r>
    </w:p>
    <w:p>
      <w:pPr>
        <w:pStyle w:val="ListParagraph"/>
        <w:numPr>
          <w:ilvl w:val="0"/>
          <w:numId w:val="5"/>
        </w:numPr>
        <w:spacing w:after="60"/>
      </w:pPr>
      <w:r>
        <w:t xml:space="preserve">User selects a mentoring topic.</w:t>
      </w:r>
    </w:p>
    <w:p>
      <w:pPr>
        <w:pStyle w:val="ListParagraph"/>
        <w:numPr>
          <w:ilvl w:val="0"/>
          <w:numId w:val="5"/>
        </w:numPr>
        <w:spacing w:after="60"/>
      </w:pPr>
      <w:r>
        <w:t xml:space="preserve">User selects an available date and time.</w:t>
      </w:r>
    </w:p>
    <w:p>
      <w:pPr>
        <w:pStyle w:val="ListParagraph"/>
        <w:numPr>
          <w:ilvl w:val="0"/>
          <w:numId w:val="5"/>
        </w:numPr>
        <w:spacing w:after="60"/>
      </w:pPr>
      <w:r>
        <w:t xml:space="preserve">User enters basic booking information.</w:t>
      </w:r>
    </w:p>
    <w:p>
      <w:pPr>
        <w:pStyle w:val="ListParagraph"/>
        <w:numPr>
          <w:ilvl w:val="0"/>
          <w:numId w:val="5"/>
        </w:numPr>
        <w:spacing w:after="60"/>
      </w:pPr>
      <w:r>
        <w:t xml:space="preserve">User confirms the booking.</w:t>
      </w:r>
    </w:p>
    <w:p>
      <w:pPr>
        <w:pStyle w:val="ListParagraph"/>
        <w:numPr>
          <w:ilvl w:val="0"/>
          <w:numId w:val="5"/>
        </w:numPr>
        <w:spacing w:after="60"/>
      </w:pPr>
      <w:r>
        <w:t xml:space="preserve">System generates a booking reference and confirmation, and sends a confirmation email.</w:t>
      </w:r>
    </w:p>
    <w:p>
      <w:pPr>
        <w:pStyle w:val="ListParagraph"/>
        <w:numPr>
          <w:ilvl w:val="0"/>
          <w:numId w:val="5"/>
        </w:numPr>
        <w:spacing w:after="60"/>
      </w:pPr>
      <w:r>
        <w:t xml:space="preserve">User receives session/meeting information.</w:t>
      </w:r>
    </w:p>
    <w:p>
      <w:pPr>
        <w:pStyle w:val="ListParagraph"/>
        <w:numPr>
          <w:ilvl w:val="0"/>
          <w:numId w:val="5"/>
        </w:numPr>
        <w:spacing w:after="60"/>
      </w:pPr>
      <w:r>
        <w:t xml:space="preserve">User attends the one-on-one session.</w:t>
      </w:r>
    </w:p>
    <w:p>
      <w:pPr>
        <w:pStyle w:val="ListParagraph"/>
        <w:numPr>
          <w:ilvl w:val="0"/>
          <w:numId w:val="5"/>
        </w:numPr>
        <w:spacing w:after="60"/>
      </w:pPr>
      <w:r>
        <w:t xml:space="preserve">User may provide post-session feedback.</w:t>
      </w:r>
    </w:p>
    <w:p>
      <w:pPr>
        <w:spacing w:after="120"/>
      </w:pPr>
      <w:r>
        <w:t xml:space="preserve">Mentoring acceptance criteria are listed in Section 19 (AC-15 to AC-22).</w:t>
      </w:r>
    </w:p>
    <w:p>
      <w:pPr>
        <w:pStyle w:val="Heading1"/>
      </w:pPr>
      <w:r>
        <w:t xml:space="preserve">22. Product Principle</w:t>
      </w:r>
    </w:p>
    <w:p>
      <w:pPr>
        <w:spacing w:after="120"/>
      </w:pPr>
      <w:r>
        <w:t xml:space="preserve">The platform should prioritize accuracy, transparency, simplicity and student agency. The central experience is not merely a university directory; it is a requirements-driven discovery system. Academic-year versioning, structured eligibility rules, source tracking, verification and optional human guidance should therefore be treated as foundational platform capabilities. The platform should help students understand their options and make informed decisions without claiming to determine which programme or career is objectively best for them.</w:t>
      </w:r>
    </w:p>
    <w:p>
      <w:pPr>
        <w:pStyle w:val="Heading1"/>
      </w:pPr>
      <w:r>
        <w:t xml:space="preserve">23. Open Issues</w:t>
      </w:r>
    </w:p>
    <w:p>
      <w:pPr>
        <w:spacing w:after="120"/>
      </w:pPr>
      <w:r>
        <w:t xml:space="preserve">The following decisions are outstanding and should be resolved before the affected features are 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026"/>
        <w:gridCol w:w="2000"/>
      </w:tblGrid>
      <w:tr>
        <w:trPr>
          <w:tblHeader/>
        </w:trPr>
        <w:tc>
          <w:tcPr>
            <w:tcW w:type="dxa" w:w="1000"/>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ID</w:t>
            </w:r>
          </w:p>
        </w:tc>
        <w:tc>
          <w:tcPr>
            <w:tcW w:type="dxa" w:w="6026"/>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Issue</w:t>
            </w:r>
          </w:p>
        </w:tc>
        <w:tc>
          <w:tcPr>
            <w:tcW w:type="dxa" w:w="2000"/>
            <w:tcBorders>
              <w:top w:val="single" w:color="BFC8D6" w:sz="4"/>
              <w:left w:val="single" w:color="BFC8D6" w:sz="4"/>
              <w:bottom w:val="single" w:color="BFC8D6" w:sz="4"/>
              <w:right w:val="single" w:color="BFC8D6" w:sz="4"/>
            </w:tcBorders>
            <w:shd w:fill="0B1F4D" w:color="auto" w:val="clear"/>
            <w:tcMar>
              <w:top w:type="dxa" w:w="80"/>
              <w:left w:type="dxa" w:w="120"/>
              <w:bottom w:type="dxa" w:w="80"/>
              <w:right w:type="dxa" w:w="120"/>
            </w:tcMar>
          </w:tcPr>
          <w:p>
            <w:r>
              <w:rPr>
                <w:b/>
                <w:bCs/>
                <w:color w:val="FFFFFF"/>
                <w:sz w:val="20"/>
                <w:szCs w:val="20"/>
              </w:rPr>
              <w:t xml:space="preserve">Affects</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OI-01</w:t>
            </w:r>
          </w:p>
        </w:tc>
        <w:tc>
          <w:tcPr>
            <w:tcW w:type="dxa" w:w="60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Define the exact conditions that produce 'Likely Eligible' rather than 'Eligible'.</w:t>
            </w:r>
          </w:p>
        </w:tc>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Section 6.1</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OI-02</w:t>
            </w:r>
          </w:p>
        </w:tc>
        <w:tc>
          <w:tcPr>
            <w:tcW w:type="dxa" w:w="60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Define the number of days after which a verified record is flagged as stale.</w:t>
            </w:r>
          </w:p>
        </w:tc>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Section 10</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OI-03</w:t>
            </w:r>
          </w:p>
        </w:tc>
        <w:tc>
          <w:tcPr>
            <w:tcW w:type="dxa" w:w="60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Define the retention period for booking names and email addresses.</w:t>
            </w:r>
          </w:p>
        </w:tc>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Section 15</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OI-04</w:t>
            </w:r>
          </w:p>
        </w:tc>
        <w:tc>
          <w:tcPr>
            <w:tcW w:type="dxa" w:w="60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Select the transactional email provider for booking confirmations.</w:t>
            </w:r>
          </w:p>
        </w:tc>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Section 14.5</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OI-05</w:t>
            </w:r>
          </w:p>
        </w:tc>
        <w:tc>
          <w:tcPr>
            <w:tcW w:type="dxa" w:w="60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Confirm the single session duration for the MVP (30, 45 or 60 minutes).</w:t>
            </w:r>
          </w:p>
        </w:tc>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Section 21.3</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OI-06</w:t>
            </w:r>
          </w:p>
        </w:tc>
        <w:tc>
          <w:tcPr>
            <w:tcW w:type="dxa" w:w="60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Define cancellation and rescheduling rules (notice period, limits).</w:t>
            </w:r>
          </w:p>
        </w:tc>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Section 21.3</w:t>
            </w:r>
          </w:p>
        </w:tc>
      </w:tr>
      <w:tr>
        <w:tc>
          <w:tcPr>
            <w:tcW w:type="dxa" w:w="1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OI-07</w:t>
            </w:r>
          </w:p>
        </w:tc>
        <w:tc>
          <w:tcPr>
            <w:tcW w:type="dxa" w:w="6026"/>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Define the mentor verification process and criteria.</w:t>
            </w:r>
          </w:p>
        </w:tc>
        <w:tc>
          <w:tcPr>
            <w:tcW w:type="dxa" w:w="200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b w:val="false"/>
                <w:bCs w:val="false"/>
                <w:sz w:val="20"/>
                <w:szCs w:val="20"/>
              </w:rPr>
              <w:t xml:space="preserve">Section 21.1</w:t>
            </w:r>
          </w:p>
        </w:tc>
      </w:tr>
    </w:tbl>
    <w:p>
      <w:pPr>
        <w:spacing w:after="12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SHS Graduate Programme &amp; Scholarship Discovery Platform — SRS v1.2   |   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0B1F4D"/>
      <w:sz w:val="32"/>
      <w:szCs w:val="32"/>
    </w:rPr>
  </w:style>
  <w:style w:type="paragraph" w:styleId="Heading2">
    <w:name w:val="Heading 2"/>
    <w:basedOn w:val="Normal"/>
    <w:next w:val="Normal"/>
    <w:qFormat/>
    <w:pPr>
      <w:spacing w:after="120" w:before="240"/>
      <w:outlineLvl w:val="1"/>
    </w:pPr>
    <w:rPr>
      <w:b/>
      <w:bCs/>
      <w:color w:val="1D4E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v1.2 — SHS Graduate Programme &amp; Scholarship Discovery Platform</dc:title>
  <dc:creator>SHS Leavers Initiative</dc:creator>
  <cp:lastModifiedBy>Un-named</cp:lastModifiedBy>
  <cp:revision>1</cp:revision>
  <dcterms:created xsi:type="dcterms:W3CDTF">2026-10-07T12:38:38.118Z</dcterms:created>
  <dcterms:modified xsi:type="dcterms:W3CDTF">2026-10-07T12:38:38.127Z</dcterms:modified>
</cp:coreProperties>
</file>

<file path=docProps/custom.xml><?xml version="1.0" encoding="utf-8"?>
<Properties xmlns="http://schemas.openxmlformats.org/officeDocument/2006/custom-properties" xmlns:vt="http://schemas.openxmlformats.org/officeDocument/2006/docPropsVTypes"/>
</file>