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B5E20"/>
          <w:sz w:val="52"/>
          <w:szCs w:val="52"/>
        </w:rPr>
        <w:t xml:space="preserve">GroundTruth</w:t>
      </w:r>
    </w:p>
    <w:p>
      <w:pPr>
        <w:spacing w:after="60" w:before="0"/>
        <w:jc w:val="center"/>
      </w:pPr>
      <w:r>
        <w:rPr>
          <w:rFonts w:ascii="Calibri" w:cs="Calibri" w:eastAsia="Calibri" w:hAnsi="Calibri"/>
          <w:b/>
          <w:bCs/>
          <w:color w:val="2E7D32"/>
          <w:sz w:val="32"/>
          <w:szCs w:val="32"/>
        </w:rPr>
        <w:t xml:space="preserve">Arquitectura Técnica del MVP</w:t>
      </w:r>
    </w:p>
    <w:p>
      <w:pPr>
        <w:spacing w:after="40" w:before="0"/>
        <w:jc w:val="center"/>
      </w:pPr>
      <w:r>
        <w:rPr>
          <w:rFonts w:ascii="Calibri" w:cs="Calibri" w:eastAsia="Calibri" w:hAnsi="Calibri"/>
          <w:color w:val="666666"/>
          <w:sz w:val="22"/>
          <w:szCs w:val="22"/>
        </w:rPr>
        <w:t xml:space="preserve">Milestone 3 — Programa Solana LATAM Labs (WayLearn)</w:t>
      </w:r>
    </w:p>
    <w:p>
      <w:pPr>
        <w:spacing w:after="320" w:before="0"/>
        <w:jc w:val="center"/>
      </w:pPr>
      <w:r>
        <w:rPr>
          <w:rFonts w:ascii="Calibri" w:cs="Calibri" w:eastAsia="Calibri" w:hAnsi="Calibri"/>
          <w:color w:val="666666"/>
          <w:sz w:val="20"/>
          <w:szCs w:val="20"/>
        </w:rPr>
        <w:t xml:space="preserve">Fecha de entrega: viernes 10 de julio de 2026</w:t>
      </w:r>
    </w:p>
    <w:p>
      <w:pPr>
        <w:spacing w:after="160"/>
      </w:pPr>
      <w:r>
        <w:rPr>
          <w:rFonts w:ascii="Calibri" w:cs="Calibri" w:eastAsia="Calibri" w:hAnsi="Calibri"/>
          <w:b/>
          <w:bCs/>
          <w:sz w:val="22"/>
          <w:szCs w:val="22"/>
        </w:rPr>
        <w:t xml:space="preserve">Objetivo: </w:t>
      </w:r>
      <w:r>
        <w:rPr>
          <w:rFonts w:ascii="Calibri" w:cs="Calibri" w:eastAsia="Calibri" w:hAnsi="Calibri"/>
          <w:sz w:val="22"/>
          <w:szCs w:val="22"/>
        </w:rPr>
        <w:t xml:space="preserve">tener claridad técnica antes de entrar al desarrollo fuerte del MVP.</w:t>
      </w:r>
    </w:p>
    <w:p>
      <w:pPr>
        <w:spacing w:after="240"/>
      </w:pPr>
      <w:r>
        <w:rPr>
          <w:rFonts w:ascii="Calibri" w:cs="Calibri" w:eastAsia="Calibri" w:hAnsi="Calibri"/>
          <w:b/>
          <w:bCs/>
          <w:sz w:val="22"/>
          <w:szCs w:val="22"/>
        </w:rPr>
        <w:t xml:space="preserve">Criterio de aceptación: </w:t>
      </w:r>
      <w:r>
        <w:rPr>
          <w:rFonts w:ascii="Calibri" w:cs="Calibri" w:eastAsia="Calibri" w:hAnsi="Calibri"/>
          <w:sz w:val="22"/>
          <w:szCs w:val="22"/>
        </w:rPr>
        <w:t xml:space="preserve">contar con una arquitectura inicial comprensible, viable y alineada con el alcance del MVP.</w:t>
      </w:r>
    </w:p>
    <w:p>
      <w:pPr>
        <w:pStyle w:val="Heading1"/>
        <w:spacing w:after="180" w:before="320"/>
      </w:pPr>
      <w:r>
        <w:rPr>
          <w:rFonts w:ascii="Calibri" w:cs="Calibri" w:eastAsia="Calibri" w:hAnsi="Calibri"/>
          <w:b/>
          <w:bCs/>
          <w:color w:val="1B5E20"/>
          <w:sz w:val="30"/>
          <w:szCs w:val="30"/>
        </w:rPr>
        <w:t xml:space="preserve">1. Resumen del producto</w:t>
      </w:r>
    </w:p>
    <w:p>
      <w:pPr>
        <w:spacing w:after="160" w:before="0"/>
      </w:pPr>
      <w:r>
        <w:rPr>
          <w:rFonts w:ascii="Calibri" w:cs="Calibri" w:eastAsia="Calibri" w:hAnsi="Calibri"/>
          <w:sz w:val="22"/>
          <w:szCs w:val="22"/>
        </w:rPr>
        <w:t xml:space="preserve">GroundTruth es una plataforma DePIN sobre Solana que certifica el cumplimiento de la regulación europea EUDR para cooperativas y exportadores de café, cacao y aguacate en Colombia y LATAM. Combina una prueba híbrida: la prueba química del terreno (sensores IoT: pH, conductividad eléctrica, humedad y temperatura del suelo) y la evidencia visual satelital (Sentinel Hub), ancladas criptográficamente en un certificado cNFT en Solana. El modelo de ingresos es Pay-per-Proof: al despachar un contenedor, el sistema debita automáticamente la tarifa en USDC de la tesorería de la cooperativa y emite los certificados que la aduana europea (TRACES NT) exige.</w:t>
      </w:r>
    </w:p>
    <w:p>
      <w:pPr>
        <w:pStyle w:val="Heading1"/>
        <w:spacing w:after="180" w:before="320"/>
      </w:pPr>
      <w:r>
        <w:rPr>
          <w:rFonts w:ascii="Calibri" w:cs="Calibri" w:eastAsia="Calibri" w:hAnsi="Calibri"/>
          <w:b/>
          <w:bCs/>
          <w:color w:val="1B5E20"/>
          <w:sz w:val="30"/>
          <w:szCs w:val="30"/>
        </w:rPr>
        <w:t xml:space="preserve">2. Diagrama simple de arquitectura</w:t>
      </w:r>
    </w:p>
    <w:p>
      <w:pPr>
        <w:spacing w:after="160" w:before="0"/>
      </w:pPr>
      <w:r>
        <w:rPr>
          <w:rFonts w:ascii="Calibri" w:cs="Calibri" w:eastAsia="Calibri" w:hAnsi="Calibri"/>
          <w:sz w:val="22"/>
          <w:szCs w:val="22"/>
        </w:rPr>
        <w:t xml:space="preserve">El diagrama muestra los componentes principales del MVP y cómo se comunican: usuarios (operador y agricultor), frontend, wallet y tesorería, backend orquestador, base de datos, servicios externos y la capa on-chain en Solana.</w:t>
      </w:r>
    </w:p>
    <w:p>
      <w:pPr>
        <w:pBdr>
          <w:top w:val="dashed" w:color="2E7D32" w:sz="6"/>
          <w:bottom w:val="dashed" w:color="2E7D32" w:sz="6"/>
          <w:left w:val="dashed" w:color="2E7D32" w:sz="6"/>
          <w:right w:val="dashed" w:color="2E7D32" w:sz="6"/>
        </w:pBdr>
        <w:shd w:fill="F1F8E9" w:val="clear"/>
        <w:spacing w:after="240" w:before="120"/>
        <w:jc w:val="center"/>
      </w:pPr>
      <w:r>
        <w:rPr>
          <w:rFonts w:ascii="Calibri" w:cs="Calibri" w:eastAsia="Calibri" w:hAnsi="Calibri"/>
          <w:i/>
          <w:iCs/>
          <w:color w:val="666666"/>
          <w:sz w:val="22"/>
          <w:szCs w:val="22"/>
        </w:rPr>
        <w:t xml:space="preserve">[ Insertar aquí la imagen del Anexo 1 — Diagrama simple de arquitectura ]</w:t>
      </w:r>
    </w:p>
    <w:p>
      <w:pPr>
        <w:pStyle w:val="Heading1"/>
        <w:spacing w:after="180" w:before="320"/>
      </w:pPr>
      <w:r>
        <w:rPr>
          <w:rFonts w:ascii="Calibri" w:cs="Calibri" w:eastAsia="Calibri" w:hAnsi="Calibri"/>
          <w:b/>
          <w:bCs/>
          <w:color w:val="1B5E20"/>
          <w:sz w:val="30"/>
          <w:szCs w:val="30"/>
        </w:rPr>
        <w:t xml:space="preserve">3. Componentes principales</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448"/>
        <w:gridCol w:w="6911"/>
      </w:tblGrid>
      <w:tr>
        <w:tc>
          <w:tcPr>
            <w:tcW w:type="dxa" w:w="2448"/>
            <w:shd w:fill="2E7D32"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Componente</w:t>
            </w:r>
          </w:p>
        </w:tc>
        <w:tc>
          <w:tcPr>
            <w:tcW w:type="dxa" w:w="6911"/>
            <w:shd w:fill="2E7D32"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Descripción breve</w:t>
            </w:r>
          </w:p>
        </w:tc>
      </w:tr>
      <w:tr>
        <w:tc>
          <w:tcPr>
            <w:tcW w:type="dxa" w:w="2448"/>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Frontend (Dashboard)</w:t>
            </w:r>
          </w:p>
        </w:tc>
        <w:tc>
          <w:tcPr>
            <w:tcW w:type="dxa" w:w="6911"/>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Vite + React. Interfaz del operador de la cooperativa y del admin: configuración de fincas/parcelas (mapa Leaflet), mapa verde/rojo en tiempo real, armado de embarques y generación del Certificado EUDR.</w:t>
            </w:r>
          </w:p>
        </w:tc>
      </w:tr>
      <w:tr>
        <w:tc>
          <w:tcPr>
            <w:tcW w:type="dxa" w:w="2448"/>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DApp lite (Agricultor)</w:t>
            </w:r>
          </w:p>
        </w:tc>
        <w:tc>
          <w:tcPr>
            <w:tcW w:type="dxa" w:w="6911"/>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Canal ligero del agricultor: recibe alertas IoT de su cultivo y declara la nueva siembra de su parcela (única acción de escritura).</w:t>
            </w:r>
          </w:p>
        </w:tc>
      </w:tr>
      <w:tr>
        <w:tc>
          <w:tcPr>
            <w:tcW w:type="dxa" w:w="2448"/>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Wallet del usuario</w:t>
            </w:r>
          </w:p>
        </w:tc>
        <w:tc>
          <w:tcPr>
            <w:tcW w:type="dxa" w:w="6911"/>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El operador deposita USDC por red Solana desde Phantom, Solflare, MetaMask o un exchange. La atribución del depósito la da la cuenta destino (su Treasury PDA), detectada vía webhooks de Helius.</w:t>
            </w:r>
          </w:p>
        </w:tc>
      </w:tr>
      <w:tr>
        <w:tc>
          <w:tcPr>
            <w:tcW w:type="dxa" w:w="2448"/>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Tesorería (Treasury PDA)</w:t>
            </w:r>
          </w:p>
        </w:tc>
        <w:tc>
          <w:tcPr>
            <w:tcW w:type="dxa" w:w="6911"/>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Una PDA por operador (seeds derivadas de su ID) con cuenta de token USDC. Solo el programa autoriza débitos al emitir un certificado válido. Saldos aislados por cooperativa. Demo en devnet con USDC de prueba.</w:t>
            </w:r>
          </w:p>
        </w:tc>
      </w:tr>
      <w:tr>
        <w:tc>
          <w:tcPr>
            <w:tcW w:type="dxa" w:w="2448"/>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Programa Solana (Anchor)</w:t>
            </w:r>
          </w:p>
        </w:tc>
        <w:tc>
          <w:tcPr>
            <w:tcW w:type="dxa" w:w="6911"/>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Programa nuevo y único. Instrucción certify (transacción atómica: debita la tarifa y mintea los cNFTs vía CPI a Bubblegum con ZK Compression) e instrucción emit_manifest (micro-tarifa por embarque). Certificado por parcela y ciclo de siembra.</w:t>
            </w:r>
          </w:p>
        </w:tc>
      </w:tr>
      <w:tr>
        <w:tc>
          <w:tcPr>
            <w:tcW w:type="dxa" w:w="2448"/>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cNFT Certificado EUDR</w:t>
            </w:r>
          </w:p>
        </w:tc>
        <w:tc>
          <w:tcPr>
            <w:tcW w:type="dxa" w:w="6911"/>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Ancla en sus metadatos: el URI del GeoJSON (Arweave), el hash SHA-256 del PDF y el hash SHA-256 de la imagen satelital.</w:t>
            </w:r>
          </w:p>
        </w:tc>
      </w:tr>
      <w:tr>
        <w:tc>
          <w:tcPr>
            <w:tcW w:type="dxa" w:w="2448"/>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Backend (NestJS)</w:t>
            </w:r>
          </w:p>
        </w:tc>
        <w:tc>
          <w:tcPr>
            <w:tcW w:type="dxa" w:w="6911"/>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Orquestador: valida reglas de negocio (cobertura de sensores, unicidad de cultivo, estado verde), obtiene la evidencia satelital, genera GeoJSON/PDF, sube a Arweave y firma la transacción on-chain.</w:t>
            </w:r>
          </w:p>
        </w:tc>
      </w:tr>
      <w:tr>
        <w:tc>
          <w:tcPr>
            <w:tcW w:type="dxa" w:w="2448"/>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Base de datos (Supabase)</w:t>
            </w:r>
          </w:p>
        </w:tc>
        <w:tc>
          <w:tcPr>
            <w:tcW w:type="dxa" w:w="6911"/>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PostgreSQL + PostGIS (topología y telemetría), Auth + RLS (roles Admin / Operador / Agricultor), Realtime (telemetría y alertas) y Storage (PDF e imagen satelital con metadatos).</w:t>
            </w:r>
          </w:p>
        </w:tc>
      </w:tr>
      <w:tr>
        <w:tc>
          <w:tcPr>
            <w:tcW w:type="dxa" w:w="2448"/>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IoT / Simulador</w:t>
            </w:r>
          </w:p>
        </w:tc>
        <w:tc>
          <w:tcPr>
            <w:tcW w:type="dxa" w:w="6911"/>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Nodos ESP32 con sensores de pH, EC, humedad y temperatura a dos profundidades, firmados en origen (ATECC608). En el MVP opera un simulador con payload compatible ChirpStack: migrar a hardware real no requiere cambios en el backend.</w:t>
            </w:r>
          </w:p>
        </w:tc>
      </w:tr>
      <w:tr>
        <w:tc>
          <w:tcPr>
            <w:tcW w:type="dxa" w:w="2448"/>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APIs externas</w:t>
            </w:r>
          </w:p>
        </w:tc>
        <w:tc>
          <w:tcPr>
            <w:tcW w:type="dxa" w:w="6911"/>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Sentinel Hub (imagen satelital), Helius (webhooks USDC), Arweave vía Irys (GeoJSON permanente) y Switchboard V3 TEE (oráculo de validación — Fase B).</w:t>
            </w:r>
          </w:p>
        </w:tc>
      </w:tr>
    </w:tbl>
    <w:p>
      <w:pPr>
        <w:spacing w:after="120" w:before="0"/>
      </w:pPr>
      <w:r>
        <w:rPr>
          <w:rFonts w:ascii="Calibri" w:cs="Calibri" w:eastAsia="Calibri" w:hAnsi="Calibri"/>
          <w:sz w:val="22"/>
          <w:szCs w:val="22"/>
        </w:rPr>
        <w:t xml:space="preserve"/>
      </w:r>
    </w:p>
    <w:p>
      <w:pPr>
        <w:pStyle w:val="Heading1"/>
        <w:spacing w:after="180" w:before="320"/>
      </w:pPr>
      <w:r>
        <w:rPr>
          <w:rFonts w:ascii="Calibri" w:cs="Calibri" w:eastAsia="Calibri" w:hAnsi="Calibri"/>
          <w:b/>
          <w:bCs/>
          <w:color w:val="1B5E20"/>
          <w:sz w:val="30"/>
          <w:szCs w:val="30"/>
        </w:rPr>
        <w:t xml:space="preserve">4. Flujo básico del usuario</w:t>
      </w:r>
    </w:p>
    <w:p>
      <w:pPr>
        <w:spacing w:after="160"/>
      </w:pPr>
      <w:r>
        <w:rPr>
          <w:rFonts w:ascii="Calibri" w:cs="Calibri" w:eastAsia="Calibri" w:hAnsi="Calibri"/>
          <w:b/>
          <w:bCs/>
          <w:sz w:val="22"/>
          <w:szCs w:val="22"/>
        </w:rPr>
        <w:t xml:space="preserve">Mapa del flujo: </w:t>
      </w:r>
      <w:r>
        <w:rPr>
          <w:rFonts w:ascii="Calibri" w:cs="Calibri" w:eastAsia="Calibri" w:hAnsi="Calibri"/>
          <w:sz w:val="22"/>
          <w:szCs w:val="22"/>
        </w:rPr>
        <w:t xml:space="preserve">usuario → wallet → aplicación → Solana → base de datos / API.</w:t>
      </w:r>
    </w:p>
    <w:p>
      <w:pPr>
        <w:spacing w:after="160" w:before="0"/>
      </w:pPr>
      <w:r>
        <w:rPr>
          <w:rFonts w:ascii="Calibri" w:cs="Calibri" w:eastAsia="Calibri" w:hAnsi="Calibri"/>
          <w:sz w:val="22"/>
          <w:szCs w:val="22"/>
        </w:rPr>
        <w:t xml:space="preserve">El operador deposita USDC desde su wallet a su Treasury PDA (detectado por Helius). Configura sus fincas y parcelas en el dashboard; la telemetría IoT las mantiene en estado verde. Al despachar, arma el embarque, presiona Generar Certificado EUDR y el backend valida el estado en Supabase, obtiene la evidencia satelital, sube el GeoJSON a Arweave y ejecuta la transacción atómica en Solana (débito USDC + mint de los cNFTs). El operador descarga el GeoJSON validado y lo sube a TRACES NT.</w:t>
      </w:r>
    </w:p>
    <w:p>
      <w:pPr>
        <w:pBdr>
          <w:top w:val="dashed" w:color="2E7D32" w:sz="6"/>
          <w:bottom w:val="dashed" w:color="2E7D32" w:sz="6"/>
          <w:left w:val="dashed" w:color="2E7D32" w:sz="6"/>
          <w:right w:val="dashed" w:color="2E7D32" w:sz="6"/>
        </w:pBdr>
        <w:shd w:fill="F1F8E9" w:val="clear"/>
        <w:spacing w:after="240" w:before="120"/>
        <w:jc w:val="center"/>
      </w:pPr>
      <w:r>
        <w:rPr>
          <w:rFonts w:ascii="Calibri" w:cs="Calibri" w:eastAsia="Calibri" w:hAnsi="Calibri"/>
          <w:i/>
          <w:iCs/>
          <w:color w:val="666666"/>
          <w:sz w:val="22"/>
          <w:szCs w:val="22"/>
        </w:rPr>
        <w:t xml:space="preserve">[ Insertar aquí la imagen del Anexo 2 — Flujo básico del usuario ]</w:t>
      </w:r>
    </w:p>
    <w:p>
      <w:pPr>
        <w:pStyle w:val="Heading1"/>
        <w:spacing w:after="180" w:before="320"/>
      </w:pPr>
      <w:r>
        <w:rPr>
          <w:rFonts w:ascii="Calibri" w:cs="Calibri" w:eastAsia="Calibri" w:hAnsi="Calibri"/>
          <w:b/>
          <w:bCs/>
          <w:color w:val="1B5E20"/>
          <w:sz w:val="30"/>
          <w:szCs w:val="30"/>
        </w:rPr>
        <w:t xml:space="preserve">5. Qué está on-chain y qué está off-chain</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735"/>
        <w:gridCol w:w="6624"/>
      </w:tblGrid>
      <w:tr>
        <w:tc>
          <w:tcPr>
            <w:tcW w:type="dxa" w:w="2735"/>
            <w:shd w:fill="2E7D32"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Capa</w:t>
            </w:r>
          </w:p>
        </w:tc>
        <w:tc>
          <w:tcPr>
            <w:tcW w:type="dxa" w:w="6624"/>
            <w:shd w:fill="2E7D32"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Contenido</w:t>
            </w:r>
          </w:p>
        </w:tc>
      </w:tr>
      <w:tr>
        <w:tc>
          <w:tcPr>
            <w:tcW w:type="dxa" w:w="2735"/>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ON-CHAIN (Solana)</w:t>
            </w:r>
          </w:p>
        </w:tc>
        <w:tc>
          <w:tcPr>
            <w:tcW w:type="dxa" w:w="6624"/>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Treasury PDA con USDC por operador; transacción atómica Pay-per-Proof (débito + mint); cNFT del certificado con URI del GeoJSON + hash del PDF + hash de la imagen satelital; registro de idempotencia por parcela y ciclo.</w:t>
            </w:r>
          </w:p>
        </w:tc>
      </w:tr>
      <w:tr>
        <w:tc>
          <w:tcPr>
            <w:tcW w:type="dxa" w:w="2735"/>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Storage permanente (Arweave)</w:t>
            </w:r>
          </w:p>
        </w:tc>
        <w:tc>
          <w:tcPr>
            <w:tcW w:type="dxa" w:w="6624"/>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Solo el GeoJSON (liviano y jurídicamente vinculante para TRACES NT): el de cada parcela y el agregado del embarque, con los hashes del PDF y la imagen embebidos.</w:t>
            </w:r>
          </w:p>
        </w:tc>
      </w:tr>
      <w:tr>
        <w:tc>
          <w:tcPr>
            <w:tcW w:type="dxa" w:w="2735"/>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Storage económico (Supabase Storage)</w:t>
            </w:r>
          </w:p>
        </w:tc>
        <w:tc>
          <w:tcPr>
            <w:tcW w:type="dxa" w:w="6624"/>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PDF del certificado y copia de la imagen satelital con sus metadatos de reproducibilidad. Su integridad se verifica con los hashes anclados on-chain.</w:t>
            </w:r>
          </w:p>
        </w:tc>
      </w:tr>
      <w:tr>
        <w:tc>
          <w:tcPr>
            <w:tcW w:type="dxa" w:w="2735"/>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OFF-CHAIN (NestJS + Supabase)</w:t>
            </w:r>
          </w:p>
        </w:tc>
        <w:tc>
          <w:tcPr>
            <w:tcW w:type="dxa" w:w="6624"/>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Telemetría IoT cruda; topología operador–finca–parcela–ciclo; estados del certificado y manifiestos; reglas de negocio configurables (densidad de sensores, umbrales EUDR, tarifas).</w:t>
            </w:r>
          </w:p>
        </w:tc>
      </w:tr>
    </w:tbl>
    <w:p>
      <w:pPr>
        <w:spacing w:after="120" w:before="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Principio: </w:t>
      </w:r>
      <w:r>
        <w:rPr>
          <w:rFonts w:ascii="Calibri" w:cs="Calibri" w:eastAsia="Calibri" w:hAnsi="Calibri"/>
          <w:sz w:val="22"/>
          <w:szCs w:val="22"/>
        </w:rPr>
        <w:t xml:space="preserve">los archivos pesados nunca van on-chain ni a Arweave. On-chain solo viajan el valor (USDC), las referencias (URI) y las huellas criptográficas (hashes SHA-256).</w:t>
      </w:r>
    </w:p>
    <w:p>
      <w:pPr>
        <w:pBdr>
          <w:top w:val="dashed" w:color="2E7D32" w:sz="6"/>
          <w:bottom w:val="dashed" w:color="2E7D32" w:sz="6"/>
          <w:left w:val="dashed" w:color="2E7D32" w:sz="6"/>
          <w:right w:val="dashed" w:color="2E7D32" w:sz="6"/>
        </w:pBdr>
        <w:shd w:fill="F1F8E9" w:val="clear"/>
        <w:spacing w:after="240" w:before="120"/>
        <w:jc w:val="center"/>
      </w:pPr>
      <w:r>
        <w:rPr>
          <w:rFonts w:ascii="Calibri" w:cs="Calibri" w:eastAsia="Calibri" w:hAnsi="Calibri"/>
          <w:i/>
          <w:iCs/>
          <w:color w:val="666666"/>
          <w:sz w:val="22"/>
          <w:szCs w:val="22"/>
        </w:rPr>
        <w:t xml:space="preserve">[ Insertar aquí la imagen del Anexo 3 — Delimitación on-chain / off-chain ]</w:t>
      </w:r>
    </w:p>
    <w:p>
      <w:pPr>
        <w:pStyle w:val="Heading1"/>
        <w:spacing w:after="180" w:before="320"/>
      </w:pPr>
      <w:r>
        <w:rPr>
          <w:rFonts w:ascii="Calibri" w:cs="Calibri" w:eastAsia="Calibri" w:hAnsi="Calibri"/>
          <w:b/>
          <w:bCs/>
          <w:color w:val="1B5E20"/>
          <w:sz w:val="30"/>
          <w:szCs w:val="30"/>
        </w:rPr>
        <w:t xml:space="preserve">6. Principales riesgos técnicos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4"/>
        <w:gridCol w:w="6336"/>
      </w:tblGrid>
      <w:tr>
        <w:tc>
          <w:tcPr>
            <w:tcW w:type="dxa" w:w="3024"/>
            <w:shd w:fill="2E7D32"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Riesgo</w:t>
            </w:r>
          </w:p>
        </w:tc>
        <w:tc>
          <w:tcPr>
            <w:tcW w:type="dxa" w:w="6336"/>
            <w:shd w:fill="2E7D32"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Mitigación en el diseño</w:t>
            </w:r>
          </w:p>
        </w:tc>
      </w:tr>
      <w:tr>
        <w:tc>
          <w:tcPr>
            <w:tcW w:type="dxa" w:w="3024"/>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Reproducibilidad del hash satelital</w:t>
            </w:r>
          </w:p>
        </w:tc>
        <w:tc>
          <w:tcPr>
            <w:tcW w:type="dxa" w:w="6336"/>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Sentinel Hub renderiza al vuelo: dos descargas dan bytes distintos. Se retiene una copia de la imagen en Supabase Storage y se hashea esa copia; el auditor verifica contra la copia, no contra una re-descarga. Se registran los metadatos de reproducibilidad (producto, timestamp, evalscript, bbox, CRS).</w:t>
            </w:r>
          </w:p>
        </w:tc>
      </w:tr>
      <w:tr>
        <w:tc>
          <w:tcPr>
            <w:tcW w:type="dxa" w:w="3024"/>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Punto único de confianza (backend)</w:t>
            </w:r>
          </w:p>
        </w:tc>
        <w:tc>
          <w:tcPr>
            <w:tcW w:type="dxa" w:w="6336"/>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Hoy el backend valida y firma. Diseño objetivo: Switchboard V3 (TEE) valida las lecturas IoT y produce el hash satelital dentro de un enclave verificable; el programa exigirá su atestación. Se activa por fases (Fase B) para no bloquear la demo.</w:t>
            </w:r>
          </w:p>
        </w:tc>
      </w:tr>
      <w:tr>
        <w:tc>
          <w:tcPr>
            <w:tcW w:type="dxa" w:w="3024"/>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Falla parcial Arweave ↔ Solana</w:t>
            </w:r>
          </w:p>
        </w:tc>
        <w:tc>
          <w:tcPr>
            <w:tcW w:type="dxa" w:w="6336"/>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Patrón saga con reintentos idempotentes (registro on-chain por parcela y ciclo impide doble mint; id de certificado impide doble cobro). A Arweave solo sube el GeoJSON en KB, acotando el costo de un fallo.</w:t>
            </w:r>
          </w:p>
        </w:tc>
      </w:tr>
      <w:tr>
        <w:tc>
          <w:tcPr>
            <w:tcW w:type="dxa" w:w="3024"/>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Firmante custodial</w:t>
            </w:r>
          </w:p>
        </w:tc>
        <w:tc>
          <w:tcPr>
            <w:tcW w:type="dxa" w:w="6336"/>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La keypair del backend se custodia en KMS/HSM con rotación y mínimo privilegio. El riesgo se reduce estructuralmente cuando el programa exige atestación TEE.</w:t>
            </w:r>
          </w:p>
        </w:tc>
      </w:tr>
      <w:tr>
        <w:tc>
          <w:tcPr>
            <w:tcW w:type="dxa" w:w="3024"/>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Nubosidad andina vs satélite</w:t>
            </w:r>
          </w:p>
        </w:tc>
        <w:tc>
          <w:tcPr>
            <w:tcW w:type="dxa" w:w="6336"/>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La imagen es un timestamp visual complementario. La prueba primaria de sostenibilidad es la química (IoT), que ve lo que la nube tapa: la certificación no se cae por nubosidad.</w:t>
            </w:r>
          </w:p>
        </w:tc>
      </w:tr>
      <w:tr>
        <w:tc>
          <w:tcPr>
            <w:tcW w:type="dxa" w:w="3024"/>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Latencia de descarga satelital</w:t>
            </w:r>
          </w:p>
        </w:tc>
        <w:tc>
          <w:tcPr>
            <w:tcW w:type="dxa" w:w="6336"/>
            <w:shd w:fill="F5F5F5" w:val="clear"/>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Todo el pipeline de evidencia es asíncrono y previo a la transacción on-chain; la TX se firma al final, con la evidencia ya lista.</w:t>
            </w:r>
          </w:p>
        </w:tc>
      </w:tr>
      <w:tr>
        <w:tc>
          <w:tcPr>
            <w:tcW w:type="dxa" w:w="3024"/>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Costos on-chain</w:t>
            </w:r>
          </w:p>
        </w:tc>
        <w:tc>
          <w:tcPr>
            <w:tcW w:type="dxa" w:w="6336"/>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cNFTs con ZK Compression (fracciones de centavo); archivos pesados fuera de Solana y Arweave.</w:t>
            </w:r>
          </w:p>
        </w:tc>
      </w:tr>
    </w:tbl>
    <w:p>
      <w:pPr>
        <w:spacing w:after="120" w:before="0"/>
      </w:pPr>
      <w:r>
        <w:rPr>
          <w:rFonts w:ascii="Calibri" w:cs="Calibri" w:eastAsia="Calibri" w:hAnsi="Calibri"/>
          <w:sz w:val="22"/>
          <w:szCs w:val="22"/>
        </w:rPr>
        <w:t xml:space="preserve"/>
      </w:r>
    </w:p>
    <w:p>
      <w:pPr>
        <w:pStyle w:val="Heading1"/>
        <w:spacing w:after="180" w:before="320"/>
      </w:pPr>
      <w:r>
        <w:rPr>
          <w:rFonts w:ascii="Calibri" w:cs="Calibri" w:eastAsia="Calibri" w:hAnsi="Calibri"/>
          <w:b/>
          <w:bCs/>
          <w:color w:val="1B5E20"/>
          <w:sz w:val="30"/>
          <w:szCs w:val="30"/>
        </w:rPr>
        <w:t xml:space="preserve">7. Dependencias técnicas e integraciones críticas</w:t>
      </w:r>
    </w:p>
    <w:p>
      <w:pPr>
        <w:pStyle w:val="ListParagraph"/>
        <w:numPr>
          <w:ilvl w:val="0"/>
          <w:numId w:val="2"/>
        </w:numPr>
        <w:spacing w:after="100"/>
      </w:pPr>
      <w:r>
        <w:rPr>
          <w:rFonts w:ascii="Calibri" w:cs="Calibri" w:eastAsia="Calibri" w:hAnsi="Calibri"/>
          <w:sz w:val="22"/>
          <w:szCs w:val="22"/>
        </w:rPr>
        <w:t xml:space="preserve">Sentinel Hub API (Copernicus Data Space): imagen raster del polígono de la parcela (OAuth2).</w:t>
      </w:r>
    </w:p>
    <w:p>
      <w:pPr>
        <w:pStyle w:val="ListParagraph"/>
        <w:numPr>
          <w:ilvl w:val="0"/>
          <w:numId w:val="2"/>
        </w:numPr>
        <w:spacing w:after="100"/>
      </w:pPr>
      <w:r>
        <w:rPr>
          <w:rFonts w:ascii="Calibri" w:cs="Calibri" w:eastAsia="Calibri" w:hAnsi="Calibri"/>
          <w:sz w:val="22"/>
          <w:szCs w:val="22"/>
        </w:rPr>
        <w:t xml:space="preserve">Helius RPC: webhooks para detectar depósitos USDC en cada Treasury PDA.</w:t>
      </w:r>
    </w:p>
    <w:p>
      <w:pPr>
        <w:pStyle w:val="ListParagraph"/>
        <w:numPr>
          <w:ilvl w:val="0"/>
          <w:numId w:val="2"/>
        </w:numPr>
        <w:spacing w:after="100"/>
      </w:pPr>
      <w:r>
        <w:rPr>
          <w:rFonts w:ascii="Calibri" w:cs="Calibri" w:eastAsia="Calibri" w:hAnsi="Calibri"/>
          <w:sz w:val="22"/>
          <w:szCs w:val="22"/>
        </w:rPr>
        <w:t xml:space="preserve">Metaplex Umi / Bubblegum: minteo de cNFTs con ZK Compression vía CPI.</w:t>
      </w:r>
    </w:p>
    <w:p>
      <w:pPr>
        <w:pStyle w:val="ListParagraph"/>
        <w:numPr>
          <w:ilvl w:val="0"/>
          <w:numId w:val="2"/>
        </w:numPr>
        <w:spacing w:after="100"/>
      </w:pPr>
      <w:r>
        <w:rPr>
          <w:rFonts w:ascii="Calibri" w:cs="Calibri" w:eastAsia="Calibri" w:hAnsi="Calibri"/>
          <w:sz w:val="22"/>
          <w:szCs w:val="22"/>
        </w:rPr>
        <w:t xml:space="preserve">Arweave vía Irys: almacenamiento permanente del GeoJSON (pago en SOL).</w:t>
      </w:r>
    </w:p>
    <w:p>
      <w:pPr>
        <w:pStyle w:val="ListParagraph"/>
        <w:numPr>
          <w:ilvl w:val="0"/>
          <w:numId w:val="2"/>
        </w:numPr>
        <w:spacing w:after="100"/>
      </w:pPr>
      <w:r>
        <w:rPr>
          <w:rFonts w:ascii="Calibri" w:cs="Calibri" w:eastAsia="Calibri" w:hAnsi="Calibri"/>
          <w:sz w:val="22"/>
          <w:szCs w:val="22"/>
        </w:rPr>
        <w:t xml:space="preserve">Supabase: PostgreSQL + PostGIS, Auth + RLS, Realtime y Storage.</w:t>
      </w:r>
    </w:p>
    <w:p>
      <w:pPr>
        <w:pStyle w:val="ListParagraph"/>
        <w:numPr>
          <w:ilvl w:val="0"/>
          <w:numId w:val="2"/>
        </w:numPr>
        <w:spacing w:after="100"/>
      </w:pPr>
      <w:r>
        <w:rPr>
          <w:rFonts w:ascii="Calibri" w:cs="Calibri" w:eastAsia="Calibri" w:hAnsi="Calibri"/>
          <w:sz w:val="22"/>
          <w:szCs w:val="22"/>
        </w:rPr>
        <w:t xml:space="preserve">ChirpStack + simulador (Faker.js): ingesta IoT en modo mock/real con payload compatible.</w:t>
      </w:r>
    </w:p>
    <w:p>
      <w:pPr>
        <w:pStyle w:val="ListParagraph"/>
        <w:numPr>
          <w:ilvl w:val="0"/>
          <w:numId w:val="2"/>
        </w:numPr>
        <w:spacing w:after="100"/>
      </w:pPr>
      <w:r>
        <w:rPr>
          <w:rFonts w:ascii="Calibri" w:cs="Calibri" w:eastAsia="Calibri" w:hAnsi="Calibri"/>
          <w:sz w:val="22"/>
          <w:szCs w:val="22"/>
        </w:rPr>
        <w:t xml:space="preserve">Anchor Framework: programa único de tesorería y certificación en Solana (devnet).</w:t>
      </w:r>
    </w:p>
    <w:p>
      <w:pPr>
        <w:pStyle w:val="ListParagraph"/>
        <w:numPr>
          <w:ilvl w:val="0"/>
          <w:numId w:val="2"/>
        </w:numPr>
        <w:spacing w:after="100"/>
      </w:pPr>
      <w:r>
        <w:rPr>
          <w:rFonts w:ascii="Calibri" w:cs="Calibri" w:eastAsia="Calibri" w:hAnsi="Calibri"/>
          <w:sz w:val="22"/>
          <w:szCs w:val="22"/>
        </w:rPr>
        <w:t xml:space="preserve">Switchboard V3 (Functions + Attestation): oráculo TEE, integración en Fase B.</w:t>
      </w:r>
    </w:p>
    <w:p>
      <w:pPr>
        <w:spacing w:after="120" w:before="0"/>
      </w:pPr>
      <w:r>
        <w:rPr>
          <w:rFonts w:ascii="Calibri" w:cs="Calibri" w:eastAsia="Calibri" w:hAnsi="Calibri"/>
          <w:sz w:val="22"/>
          <w:szCs w:val="22"/>
        </w:rPr>
        <w:t xml:space="preserve"/>
      </w:r>
    </w:p>
    <w:p>
      <w:pPr>
        <w:pStyle w:val="Heading1"/>
        <w:spacing w:after="180" w:before="320"/>
      </w:pPr>
      <w:r>
        <w:rPr>
          <w:rFonts w:ascii="Calibri" w:cs="Calibri" w:eastAsia="Calibri" w:hAnsi="Calibri"/>
          <w:b/>
          <w:bCs/>
          <w:color w:val="1B5E20"/>
          <w:sz w:val="30"/>
          <w:szCs w:val="30"/>
        </w:rPr>
        <w:t xml:space="preserve">8. Alineación con el alcance del MVP</w:t>
      </w:r>
    </w:p>
    <w:p>
      <w:pPr>
        <w:spacing w:after="160" w:before="0"/>
      </w:pPr>
      <w:r>
        <w:rPr>
          <w:rFonts w:ascii="Calibri" w:cs="Calibri" w:eastAsia="Calibri" w:hAnsi="Calibri"/>
          <w:sz w:val="22"/>
          <w:szCs w:val="22"/>
        </w:rPr>
        <w:t xml:space="preserve">El MVP demuestra el flujo completo Pay-per-Proof con simulador IoT en devnet, orientado a la validación comercial (LOIs). Quedan explícitamente fuera del MVP, con puntos de extensión ya previstos en el diseño:</w:t>
      </w:r>
    </w:p>
    <w:p>
      <w:pPr>
        <w:pStyle w:val="ListParagraph"/>
        <w:numPr>
          <w:ilvl w:val="0"/>
          <w:numId w:val="2"/>
        </w:numPr>
        <w:spacing w:after="100"/>
      </w:pPr>
      <w:r>
        <w:rPr>
          <w:rFonts w:ascii="Calibri" w:cs="Calibri" w:eastAsia="Calibri" w:hAnsi="Calibri"/>
          <w:sz w:val="22"/>
          <w:szCs w:val="22"/>
        </w:rPr>
        <w:t xml:space="preserve">Micropago al agricultor en la misma transacción (Fase 2; transfer hook reservado en el programa).</w:t>
      </w:r>
    </w:p>
    <w:p>
      <w:pPr>
        <w:pStyle w:val="ListParagraph"/>
        <w:numPr>
          <w:ilvl w:val="0"/>
          <w:numId w:val="2"/>
        </w:numPr>
        <w:spacing w:after="100"/>
      </w:pPr>
      <w:r>
        <w:rPr>
          <w:rFonts w:ascii="Calibri" w:cs="Calibri" w:eastAsia="Calibri" w:hAnsi="Calibri"/>
          <w:sz w:val="22"/>
          <w:szCs w:val="22"/>
        </w:rPr>
        <w:t xml:space="preserve">Validación TEE obligatoria con Switchboard V3 (Fase B; el programa nace con el gate de atestación previsto).</w:t>
      </w:r>
    </w:p>
    <w:p>
      <w:pPr>
        <w:pStyle w:val="ListParagraph"/>
        <w:numPr>
          <w:ilvl w:val="0"/>
          <w:numId w:val="2"/>
        </w:numPr>
        <w:spacing w:after="100"/>
      </w:pPr>
      <w:r>
        <w:rPr>
          <w:rFonts w:ascii="Calibri" w:cs="Calibri" w:eastAsia="Calibri" w:hAnsi="Calibri"/>
          <w:sz w:val="22"/>
          <w:szCs w:val="22"/>
        </w:rPr>
        <w:t xml:space="preserve">Registro en terreno con QR y gemelo digital, y calibración de sensores en campo.</w:t>
      </w:r>
    </w:p>
    <w:p>
      <w:pPr>
        <w:pStyle w:val="ListParagraph"/>
        <w:numPr>
          <w:ilvl w:val="0"/>
          <w:numId w:val="2"/>
        </w:numPr>
        <w:spacing w:after="100"/>
      </w:pPr>
      <w:r>
        <w:rPr>
          <w:rFonts w:ascii="Calibri" w:cs="Calibri" w:eastAsia="Calibri" w:hAnsi="Calibri"/>
          <w:sz w:val="22"/>
          <w:szCs w:val="22"/>
        </w:rPr>
        <w:t xml:space="preserve">Monitoreo satelital en tiempo real y alertas climáticas de detección temprana.</w:t>
      </w:r>
    </w:p>
    <w:p>
      <w:pPr>
        <w:pStyle w:val="ListParagraph"/>
        <w:numPr>
          <w:ilvl w:val="0"/>
          <w:numId w:val="2"/>
        </w:numPr>
        <w:spacing w:after="100"/>
      </w:pPr>
      <w:r>
        <w:rPr>
          <w:rFonts w:ascii="Calibri" w:cs="Calibri" w:eastAsia="Calibri" w:hAnsi="Calibri"/>
          <w:sz w:val="22"/>
          <w:szCs w:val="22"/>
        </w:rPr>
        <w:t xml:space="preserve">Account Abstraction y rampas FIAT (el MVP opera con depósito manual de USDC).</w:t>
      </w:r>
    </w:p>
    <w:p>
      <w:pPr>
        <w:pStyle w:val="ListParagraph"/>
        <w:numPr>
          <w:ilvl w:val="0"/>
          <w:numId w:val="2"/>
        </w:numPr>
        <w:spacing w:after="100"/>
      </w:pPr>
      <w:r>
        <w:rPr>
          <w:rFonts w:ascii="Calibri" w:cs="Calibri" w:eastAsia="Calibri" w:hAnsi="Calibri"/>
          <w:sz w:val="22"/>
          <w:szCs w:val="22"/>
        </w:rPr>
        <w:t xml:space="preserve">Asistente Agronómico IA, Data Marketplace (DeSci) y entrega de alertas por WhatsApp.</w:t>
      </w:r>
    </w:p>
    <w:p>
      <w:pPr>
        <w:spacing w:after="120" w:before="0"/>
      </w:pPr>
      <w:r>
        <w:rPr>
          <w:rFonts w:ascii="Calibri" w:cs="Calibri" w:eastAsia="Calibri" w:hAnsi="Calibri"/>
          <w:sz w:val="22"/>
          <w:szCs w:val="22"/>
        </w:rPr>
        <w:t xml:space="preserve"/>
      </w:r>
    </w:p>
    <w:p>
      <w:pPr>
        <w:spacing w:after="160" w:before="0"/>
      </w:pPr>
      <w:r>
        <w:rPr>
          <w:rFonts w:ascii="Calibri" w:cs="Calibri" w:eastAsia="Calibri" w:hAnsi="Calibri"/>
          <w:i/>
          <w:iCs/>
          <w:color w:val="666666"/>
          <w:sz w:val="20"/>
          <w:szCs w:val="20"/>
        </w:rPr>
        <w:t xml:space="preserve">Anexos (diagramas Mermaid): Anexo 1 — Diagrama simple de arquitectura · Anexo 2 — Flujo básico del usuario · Anexo 3 — Delimitación on-chain / off-chain.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2026-07-11T02:47:22.845Z</dcterms:created>
  <dcterms:modified xsi:type="dcterms:W3CDTF">2026-07-11T02:47:22.855Z</dcterms:modified>
</cp:coreProperties>
</file>

<file path=docProps/custom.xml><?xml version="1.0" encoding="utf-8"?>
<Properties xmlns="http://schemas.openxmlformats.org/officeDocument/2006/custom-properties" xmlns:vt="http://schemas.openxmlformats.org/officeDocument/2006/docPropsVTypes"/>
</file>