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Qurious · 최종본 v6.0 · 2026-09-14 기준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수집·저장·정제, 시점정합 공급 계층, 홀드아웃 개봉 통제, 문서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피처 조합 비교, 모델 학습·선정, 최종 홀드아웃 실행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백테스팅·성과지표, 동적 기준선, Streamlit 대시보드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지표·파생 피처, 유동 임계값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발표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신장환·강민석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 — 맞히는 것보다 어려운 건, 맞혔다고 말해도 되는지 아는 것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저장소 이름 Alpha_Stack 은 착수 시점의 이름이라 그대로 둔다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개발구간 3,553거래일에서 아무 모델 없이 “늘 중립”이라고만 답해도 38.50%를 맞힌다(중립이 최빈 클래스다). 통계적으로 유의하려면 41.11%가 필요하다 — 단측 α=0.05 에, 5거래일 레이블이 서로 겹쳐 관측이 독립이 아닌 것을 VIF 3.78 로 반영한 값이다. 이길 수 있는 폭이 2.6%p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만들었다.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설계했다.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우리 자료로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잰 값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잠금·거래비용·기준선·사전등록, 봉인한 최근 2년으로 한 번만 최종 평가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업종 시총 상위 10 × 업종별 종목 상위 5에서 확률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5슬리브 중첩 운용 — 같은 모델을 매 거래일 돌려 진입 시점을 다섯으로 나눈다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변동성·거래량에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공매도 없는 {0, +1}, 분할매매 비중을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전부 구현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(부록 A)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④⑤⑥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팀원 제안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 API·DART·공공데이터포털·한국은행 ECOS 에서 2010년부터 전수 수집해 SQLite 한 파일(표 23개)에 쌓는다. 지금은 거래되지 않는 913종목을 지우지 않아 생존편향을 막고, 정리매매·거래정지·신규상장 첫날은 학습 표본에서 뺀다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자료는 as_of 공급 계층을 지나야만 꺼낼 수 있고, 재무·공시는 접수 다음 거래일부터 보인다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결측·이상치·거래일 달력·봉인 구간 누수를 검사하고, 막는 검사가 하나라도 실패하면 팀 공유 데이터셋 반출이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이동평균·RSI·MACD·볼린저·거래량·변동성을 numpy 로 직접 구현하고, 종목·시기마다 다른 눈금을 맞춘 파생 피처 4개를 더했다. 지표마다 손계산 테스트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T+1 시가 → T+6 시가 수익률 3분류. 지수 ±1.0% / 종목 ±2.0% (종목 변동성이 지수의 약 2.1배)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매 거래일 당시 시총으로 업종 상위 10개, 업종별 KOSPI 보통주 상위 5개를 고른다. 그날까지 받은 업종 정보만 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 × 피처 조합을 같은 표본·같은 분할로 비교한다(지수 100후보 · 종목 44후보). 학습 시도는 장부에 남긴다. 전처리는 후보 8개를 통제 실험으로 비교해 원값을 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검증·선정 — 날짜 단위 expanding 12폴드 · gap 5 · 기준선은 학습구간 최빈 클래스. 선정 순서는 결과를 보기 전에 고정한다(부록 D)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최종 평가 — 2024-09-01 이후 약 2년을 봉인했다가, 설정을 커밋으로 고정한 뒤 한 번만 열었다. 다중비교는 대응표본 t·Bonferroni·Deflated Sharpe 문턱으로 함께 보고한다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부록 C·D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대시보드 9페이지 — 기준선·모델·백테스트·비용 민감도·QFRS 를 한 화면에서. 공개 배포 두 곳(Streamlit Cloud · Hugging Face Space)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지수 100후보 · 종목 44후보, 기준선 대비와 다중검정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최종 홀드아웃 결과 — 2년 478거래일을 한 번 평가한 지표와 매수 후보 (부록 E)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재현 파이프라인 — 수집→검사→반출 한 명령, 최종 평가 한 명령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결과 보고서 · 발표자료 · README · 결정 기록(ADR) 10건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2·3차가 그대로 가져다 쓰는 성과 검증 엔진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저장소 github.com/devlee328288/Alpha_Stack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①이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발표 시연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결과는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부록 E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범위와 달성 현황</w:t>
      </w:r>
    </w:p>
    <w:p>
      <w:r>
        <w:rPr>
          <w:rFonts w:ascii="맑은 고딕" w:hAnsi="맑은 고딕" w:eastAsia="맑은 고딕"/>
          <w:b w:val="0"/>
          <w:sz w:val="19"/>
        </w:rPr>
        <w:t>계획서에 적은 범위를 필수와 선택으로 나누고, 1차를 마친 상태를 코드와 결과 파일로 확인해 적었다. 필수 열 개는 모두 구현했고, 선택 범위는 만든 것과 하지 않은 것을 함께 적는다.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29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3214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(워크포워드·거래비용·기준선)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gap 이 라벨 지평보다 짧으면 LeakageError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evaluation/ 은 models/ 를 import 하지 않는다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확정 — 조합 C · LogisticRegression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확정 — 조합 K · LogisticRegression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5슬리브 중첩 운용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매일의 5거래일 예측을 다섯 슬리브로 나눠 일별 성과를 계산한다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(변동성·거래량 스케일)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6파라미터 동적 기준선 · CMA-ES 탐색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최종 모델 라벨은 고정 밴드(±1.0% · ±2.0%)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{0, +1} · 두 트랙 모두 상승일 때 매수 후보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분할매매 A 20-30-50% · B 고정 25% · C 올인/올아웃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지수 100후보 · 종목 44후보(11조합 × 4)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학습 시도 기록 17,388행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일별시세 9,231,938행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표 23개 · 검사가 실패하면 반출이 멈춘다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봉인 홀드아웃 1회 평가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이동원·오준영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완료 — 개봉 기록 1줄 · 판정 ‘확증 가능’ (부록 E)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Streamlit 시연 화면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9페이지 · 공개 배포 두 곳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시장 균열 스코어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균열 스코어 자체는 만들지 않았다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시장 내부 상태 피처 5칸(상승 종목 비율 · 200일선 위 비율 · TRIN 등)은 만들었고 최종 조합에는 넣지 않았다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공시 제목 텍스트 신호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5일 방향과 연관이 거의 없어(크래머 V 0.026) 피처로 넣지 않았다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Keras LSTM/GRU 비교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하지 않았다 — 같은 검증 엔진에 붙일 수 있다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⑭ 버튼 갱신 파이프라인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이동원·강민석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구현 — 수집→검사→판정→HF 한 명령 · 잠금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2·3차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⑮ 비LLM 에이전트 관측 규격 (W×F 배열)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명세만 — 2·3차가 데이터 코드를 고치지 않고 붙는 자리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⑯ GitHub Actions 검사용 CI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2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도입하지 않았다 — 검사는 사람이 실행한다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확인했다.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45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97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97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409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수집·정제·시점정합</w:t>
            </w:r>
          </w:p>
        </w:tc>
        <w:tc>
          <w:tcPr>
            <w:tcW w:type="dxa" w:w="97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97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409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SQLite 표 23개 · as_of 공급 계층 · 품질 검증기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팀 데이터셋 반출 · 홀드아웃 개봉 기록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</w:t>
            </w:r>
          </w:p>
        </w:tc>
        <w:tc>
          <w:tcPr>
            <w:tcW w:type="dxa" w:w="97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97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409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원자 지표 · 파생 피처 4개 · 유동 임계값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손계산 테스트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97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97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409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조합 비교(지수 100 · 종목 44) · 최종 C·K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홀드아웃 실행기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97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97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409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동적 기준선 · 분할매매 A/B/C · 비용 민감도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대시보드 9페이지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검수자가 한 번 더 확인한다.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파트 경계를 넘어야 할 때는 먼저 담당자에게 묻고, PR 본문과 문서에 왜 넘었는지 남긴다.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기록(ADR)으로 남긴다 — 무엇을, 왜, 어떤 대안을 버렸는지. 1차에서 10건을 남겼다.</w:t>
      </w:r>
    </w:p>
    <w:p>
      <w:r>
        <w:rPr>
          <w:rFonts w:ascii="맑은 고딕" w:hAnsi="맑은 고딕" w:eastAsia="맑은 고딕"/>
          <w:b w:val="0"/>
          <w:sz w:val="18"/>
        </w:rPr>
        <w:t>⑤ 발표는 신장환·강민석이 함께 한다.</w:t>
      </w:r>
    </w:p>
    <w:p/>
    <w:p>
      <w:r>
        <w:rPr>
          <w:rFonts w:ascii="맑은 고딕" w:hAnsi="맑은 고딕" w:eastAsia="맑은 고딕"/>
          <w:b/>
          <w:sz w:val="24"/>
        </w:rPr>
        <w:t>부록 C. 시스템 구성과 데이터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모델에 들어간다. 이 문을 지나지 않는 조회는 테스트가 막는다. “그때 알 수 있었던 것”만 모델에 들어가게 하는 구조적 장치다. 홀드아웃을 여는 문은 따로 하나이고, 열 때마다 기록이 한 줄 남는다.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64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6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시스템 구성 — 수집 → 저장 → 공급(as_of) → 피처 → 모델 → 검증·백테스트 → 화면</w:t>
      </w:r>
    </w:p>
    <w:p/>
    <w:p>
      <w:r>
        <w:rPr>
          <w:rFonts w:ascii="맑은 고딕" w:hAnsi="맑은 고딕" w:eastAsia="맑은 고딕"/>
          <w:b w:val="0"/>
          <w:sz w:val="19"/>
        </w:rPr>
        <w:t>모든 자료는 SQLite 한 파일(표 23개 · 스키마 v16)에 쌓고, 팀원에게는 개발구간(~2024-08-31)만 잘라 Hugging Face 비공개 저장소로 나눴다. 원자료는 코드 저장소에 두지 않는다. 행 수는 2026-09-14 에 DB 를 읽기 전용으로 열어 셌다.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45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자료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규모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기간</w:t>
            </w:r>
          </w:p>
        </w:tc>
        <w:tc>
          <w:tcPr>
            <w:tcW w:type="dxa" w:w="236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출처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일별시세 (수정주가 · 총수익)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9,231,938행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2010-01-04 ~ 2026-09-04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KRX Open API · FinanceDataReader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종목기본정보 (그날 기준)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9,229,173행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2010-01-04 ~ 2026-09-03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KRX Open API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종목 식별 (법인등록번호 · ISIN)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4,197,242행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2020-01-02 ~ 2026-08-31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공공데이터포털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공시 목록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1,555,556행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2010-01-04 ~ 2026-09-04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DART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재무제표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662,933행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 2015-09-23 ~ 2026-08-14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DART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지수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196,272행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2010-01-04 ~ 2026-09-04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KRX Open API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배당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71,681행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 2026-09-03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공공데이터포털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기업행위 사건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44,290행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 2026-09-04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시세·종목기본정보에서 판정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업종 스냅샷 (사람이 받은 36장)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40,874행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2024-01 ~ 2026-09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KRX 화면 — 약관상 자동 수집 금지</w:t>
            </w:r>
          </w:p>
        </w:tc>
      </w:tr>
      <w:tr>
        <w:tc>
          <w:tcPr>
            <w:tcW w:type="dxa" w:w="245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거시지표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17,864행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2009-08 ~</w:t>
            </w:r>
          </w:p>
        </w:tc>
        <w:tc>
          <w:tcPr>
            <w:tcW w:type="dxa" w:w="236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한국은행 ECOS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9"/>
        </w:rPr>
        <w:t>각 자료가 어느 날부터 보이는지를 자료마다 정해 두었다. 자료를 꺼내는 함수는 as_of 에 기본값이 없어 빠뜨리면 멈춘다.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252"/>
        <w:gridCol w:w="4252"/>
      </w:tblGrid>
      <w:tr>
        <w:tc>
          <w:tcPr>
            <w:tcW w:type="dxa" w:w="189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자료</w:t>
            </w:r>
          </w:p>
        </w:tc>
        <w:tc>
          <w:tcPr>
            <w:tcW w:type="dxa" w:w="6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그 행에서 보이기 시작하는 날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시세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T일 종가로 판단하고 T+1 시가에 체결한다 — 라벨도 T+1 시가 → T+6 시가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재무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DART 접수일 다음 거래일 · 정정본은 정정 접수일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공시 제목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접수일 다음 거래일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거시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규칙으로 보수적으로 계산한 날 (ECOS 가 발표일을 주지 않는다)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업종 · 주권종류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스냅샷 다음 거래일 · 그날까지 받은 것 중 가장 최근 하나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일부러 틀리게 붙인 대조군과 비교했다 — 결산기 끝 날짜로 붙이면 23.2%, 원본 최초 접수일로 붙이면 9.1% 의 행이 그날 알 수 없던 재무 보고서를 봤고, 공급 계층은 0행이었다.</w:t>
      </w:r>
    </w:p>
    <w:p>
      <w:r>
        <w:rPr>
          <w:rFonts w:ascii="맑은 고딕" w:hAnsi="맑은 고딕" w:eastAsia="맑은 고딕"/>
          <w:b w:val="0"/>
          <w:sz w:val="18"/>
        </w:rPr>
        <w:t>※ 생존편향 — 수집 마지막 날(2026-09-04) 기준 3,678종목 중 913종목(24.8%)이 그 전에 거래가 끊겼고 지우지 않았다(개발구간 안에서 끊긴 종목 750). 대신 가격제한폭이 없는 정리매매 구간, 체결이 없는 거래정지 행, 신규상장 첫날은 학습 표본에서 뺀다. 폐지 종목을 넣었더니 실제로는 체결될 수 없는 급락 봉이 반대 방향의 편향을 만들었기 때문이다.</w:t>
      </w:r>
    </w:p>
    <w:p>
      <w:r>
        <w:rPr>
          <w:rFonts w:ascii="맑은 고딕" w:hAnsi="맑은 고딕" w:eastAsia="맑은 고딕"/>
          <w:b w:val="0"/>
          <w:sz w:val="18"/>
        </w:rPr>
        <w:t>※ 이상치는 크기로 자르지 않는다. 거래소 등락률과 어긋나는 행과 실제로 일어난 극단 사건(권리락·거래정지 해제 등)을 칸으로 구분해 표시한다. 종목코드가 재사용된 자리에서 앞 회사 기록이 붙던 행(개발구간 74 · 홀드아웃 187)은 상장 구간 판정으로 0 으로 만들었다.</w:t>
      </w:r>
    </w:p>
    <w:p/>
    <w:p>
      <w:r>
        <w:rPr>
          <w:rFonts w:ascii="맑은 고딕" w:hAnsi="맑은 고딕" w:eastAsia="맑은 고딕"/>
          <w:b/>
          <w:sz w:val="24"/>
        </w:rPr>
        <w:t>부록 D. 라벨 · 피처 · 모델 · 검증</w:t>
      </w:r>
    </w:p>
    <w:p>
      <w:r>
        <w:rPr>
          <w:rFonts w:ascii="맑은 고딕" w:hAnsi="맑은 고딕" w:eastAsia="맑은 고딕"/>
          <w:b w:val="0"/>
          <w:sz w:val="19"/>
        </w:rPr>
        <w:t>라벨은 개인이 실제로 체결할 수 있는 시점에 맞췄다. 종가를 보고 나면 장이 끝나 있으므로 T일 종가로 판단하고 T+1 시가에 사서 T+6 시가에 평가한다. 공매도는 개인이 실행하기 어려워 하락 예측은 “보유하지 않음”으로만 실행한다.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330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KOSPI200</w:t>
            </w:r>
          </w:p>
        </w:tc>
        <w:tc>
          <w:tcPr>
            <w:tcW w:type="dxa" w:w="346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개별종목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예측 지평</w:t>
            </w:r>
          </w:p>
        </w:tc>
        <w:tc>
          <w:tcPr>
            <w:tcW w:type="dxa" w:w="330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5거래일</w:t>
            </w:r>
          </w:p>
        </w:tc>
        <w:tc>
          <w:tcPr>
            <w:tcW w:type="dxa" w:w="346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5거래일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진입 · 평가</w:t>
            </w:r>
          </w:p>
        </w:tc>
        <w:tc>
          <w:tcPr>
            <w:tcW w:type="dxa" w:w="330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T+1 시가 → T+6 시가</w:t>
            </w:r>
          </w:p>
        </w:tc>
        <w:tc>
          <w:tcPr>
            <w:tcW w:type="dxa" w:w="346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T+1 수정시가 → T+6 수정시가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중립대</w:t>
            </w:r>
          </w:p>
        </w:tc>
        <w:tc>
          <w:tcPr>
            <w:tcW w:type="dxa" w:w="330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±1.0%</w:t>
            </w:r>
          </w:p>
        </w:tc>
        <w:tc>
          <w:tcPr>
            <w:tcW w:type="dxa" w:w="346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±2.0% — 변동성이 지수의 약 2.1배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포지션</w:t>
            </w:r>
          </w:p>
        </w:tc>
        <w:tc>
          <w:tcPr>
            <w:tcW w:type="dxa" w:w="330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{0, +1} — 공매도 없음</w:t>
            </w:r>
          </w:p>
        </w:tc>
        <w:tc>
          <w:tcPr>
            <w:tcW w:type="dxa" w:w="346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{0, +1}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결정 기록</w:t>
            </w:r>
          </w:p>
        </w:tc>
        <w:tc>
          <w:tcPr>
            <w:tcW w:type="dxa" w:w="330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ADR 0002</w:t>
            </w:r>
          </w:p>
        </w:tc>
        <w:tc>
          <w:tcPr>
            <w:tcW w:type="dxa" w:w="346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ADR 0006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9"/>
        </w:rPr>
        <w:t>최종 피처 조합. 개별종목은 열한 조합 × 모델 4종을 같은 표본에서 비교했고, 열한 조합 중 여덟에서 LogisticRegression 이 가장 좋았다. 피처 수와 성적 사이에는 관계가 없었다(스피어만 ρ=−0.05, p=0.88) — 개수가 아니라 어떤 축을 담았는지가 갈랐다.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트랙 · 조합</w:t>
            </w:r>
          </w:p>
        </w:tc>
        <w:tc>
          <w:tcPr>
            <w:tcW w:type="dxa" w:w="393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피처</w:t>
            </w:r>
          </w:p>
        </w:tc>
        <w:tc>
          <w:tcPr>
            <w:tcW w:type="dxa" w:w="283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재나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KOSPI200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조합 C · 6개</w:t>
            </w:r>
          </w:p>
        </w:tc>
        <w:tc>
          <w:tcPr>
            <w:tcW w:type="dxa" w:w="393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sma_gap_5_20 · macd_hist_ratio</w:t>
            </w:r>
          </w:p>
        </w:tc>
        <w:tc>
          <w:tcPr>
            <w:tcW w:type="dxa" w:w="283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추세의 방향과 강도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93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rsi_14 · bb_position</w:t>
            </w:r>
          </w:p>
        </w:tc>
        <w:tc>
          <w:tcPr>
            <w:tcW w:type="dxa" w:w="283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과매수·과매도 · 볼린저밴드 안 위치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93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hv_20 · vol_ratio_20</w:t>
            </w:r>
          </w:p>
        </w:tc>
        <w:tc>
          <w:tcPr>
            <w:tcW w:type="dxa" w:w="283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20일 변동성 · 평소 대비 거래량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개별종목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조합 K · 14개</w:t>
            </w:r>
          </w:p>
        </w:tc>
        <w:tc>
          <w:tcPr>
            <w:tcW w:type="dxa" w:w="393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atr_ratio · bb_bandwidth · hv_regime · hv_20</w:t>
            </w:r>
          </w:p>
        </w:tc>
        <w:tc>
          <w:tcPr>
            <w:tcW w:type="dxa" w:w="283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변동성의 크기와 국면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93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five_day_return · daily_return · relative_ret_5_market</w:t>
            </w:r>
          </w:p>
        </w:tc>
        <w:tc>
          <w:tcPr>
            <w:tcW w:type="dxa" w:w="283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수익률 · 시장 대비 성과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93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sma_gap_5_20 · sma_gap_20_60 · macd_hist_ratio</w:t>
            </w:r>
          </w:p>
        </w:tc>
        <w:tc>
          <w:tcPr>
            <w:tcW w:type="dxa" w:w="283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단기·중기 추세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93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rsi_14 · bb_position</w:t>
            </w:r>
          </w:p>
        </w:tc>
        <w:tc>
          <w:tcPr>
            <w:tcW w:type="dxa" w:w="283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과매수·과매도 · 위치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93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vol_ratio_20 · obv_slope_20</w:t>
            </w:r>
          </w:p>
        </w:tc>
        <w:tc>
          <w:tcPr>
            <w:tcW w:type="dxa" w:w="283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거래량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9"/>
        </w:rPr>
        <w:t>모델을 고르는 순서와 최종 설정은 홀드아웃을 열기 전에 커밋으로 고정했다.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252"/>
        <w:gridCol w:w="4252"/>
      </w:tblGrid>
      <w:tr>
        <w:tc>
          <w:tcPr>
            <w:tcW w:type="dxa" w:w="189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6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값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후보 모델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LogisticRegression · RandomForest · XGBoost · LightGBM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후보 수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KOSPI200 100개 · 개별종목 44개 (11조합 × 4모델)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분할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날짜 단위 expanding 12폴드 · 최초 학습 750거래일 · 검증 60거래일 · gap 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KOSPI200 표본 밖 검증 2014-02-17 ~ 2024-08-22 · 720거래일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폴드마다 학습구간 최빈 클래스를 검증구간 전체에 예측한 정확도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검증구간 최빈 비율은 정답을 본 값이라 선정에 쓰지 않는다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KOSPI200 선정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관문 — 기준선 대비 정확도 &gt; 0 이고 기준선을 이긴 폴드 7/12 이상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→ 상승 PR-AUC → 비용 차감 ΔSharpe(폴드 중앙값) → 상승 Precision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개별종목 선정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 대비 정확도 → Macro F1 → 기준선을 이긴 폴드 수 (ADR 0007)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전처리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후보 8개를 12폴드 통제 실험으로 비교 → 원값 유지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모델 안 StandardScaler 는 폴드의 학습 행으로만 맞춘다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개봉 전 고정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class weight 두 트랙 모두 balanced · KOSPI200 상승 임계 0.3375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두 트랙이 모두 상승일 때만 매수 후보 · 설정 지문 5299a08f (ADR 0009)</w:t>
            </w:r>
          </w:p>
        </w:tc>
      </w:tr>
      <w:tr>
        <w:tc>
          <w:tcPr>
            <w:tcW w:type="dxa" w:w="189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홀드아웃</w:t>
            </w:r>
          </w:p>
        </w:tc>
        <w:tc>
          <w:tcPr>
            <w:tcW w:type="dxa" w:w="6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2024-09-01 이후 약 2년 봉인 (ADR 0005)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결과를 본 뒤 모델·피처·임계값을 다시 고르지 않는다 (ADR 0007)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KOSPI200 선정에서 정확도 관문을 빼고 상승 PR-AUC 만 보면 1위가 조합 E 로 바뀔 수 있다. 관문의 7/12 는 통계적 유의성 문턱이 아니라 저성능 후보를 거르는 최소 운영 안정성 기준이다. 선정 축이 결론을 바꿀 수 있으므로 어느 축으로 골랐는지를 결과와 함께 적는다.</w:t>
      </w:r>
    </w:p>
    <w:p/>
    <w:p>
      <w:r>
        <w:rPr>
          <w:rFonts w:ascii="맑은 고딕" w:hAnsi="맑은 고딕" w:eastAsia="맑은 고딕"/>
          <w:b/>
          <w:sz w:val="24"/>
        </w:rPr>
        <w:t>부록 E. 최종 결과 — 봉인한 2년을 한 번 평가</w:t>
      </w:r>
    </w:p>
    <w:p>
      <w:r>
        <w:rPr>
          <w:rFonts w:ascii="맑은 고딕" w:hAnsi="맑은 고딕" w:eastAsia="맑은 고딕"/>
          <w:b w:val="0"/>
          <w:sz w:val="19"/>
        </w:rPr>
        <w:t>평가 2024-09-02 ~ 2026-08-24 (478거래일). 2026-09-11 에 팀 합의로 봉인을 한 번 열고(reports/unseal.log 기록 1줄), 개봉 전에 커밋한 설정(ADR 0009) 그대로 한 번 실행했다. 사전등록이 개봉보다 앞서 판정은 ‘확증 가능’이다. 봉인 끝을 2026-09-01 로 둔 것은 그 뒤 사흘의 수정주가가 계산 전이었기 때문이다.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지표</w:t>
            </w:r>
          </w:p>
        </w:tc>
        <w:tc>
          <w:tcPr>
            <w:tcW w:type="dxa" w:w="291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KOSPI200 · 조합 C</w:t>
            </w:r>
          </w:p>
        </w:tc>
        <w:tc>
          <w:tcPr>
            <w:tcW w:type="dxa" w:w="2914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개별종목 · 조합 K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평가 표본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478거래일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23,567건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정확도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0.4331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0.3807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 최빈 기준선 (ADR 0006)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개발구간 최빈 = 중립을 평가 전체에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0.1653 (79 / 478)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0.2858 (6,736 / 23,567)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 최빈 기준선 대비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+26.78%p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+9.49%p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참고 · 평가구간 분포 (사후값)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가장 많은 클래스 = 상승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상승 0.5460 (261 / 478)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모델과 차 −11.30%p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상승 0.3655 (8,614 / 23,567)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모델과 차 +1.52%p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Macro F1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0.3126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0.3740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Balanced accuracy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0.3285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0.3741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MCC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−0.0114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0.0585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하락 재현율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0.1087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0.4498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상승 Precision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0.5415 (176 / 325)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0.3846 (3,420 / 8,893)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매수 후보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(두 트랙 모두 상승)</w:t>
            </w:r>
          </w:p>
        </w:tc>
        <w:tc>
          <w:tcPr>
            <w:tcW w:type="dxa" w:w="291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914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7,397 / 23,567건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· 주 기준선은 ADR 0006 정의다 — 학습에 쓴 개발구간의 최빈 클래스(두 트랙 모두 중립)를 평가 전체에 예측한 정확도. 두 트랙 모두 이 기준선을 넘었다(KOSPI200 +26.78%p · 개별종목 +9.49%p). 결과를 본 뒤 모델·피처·임계값을 다시 고르지 않았다.</w:t>
      </w:r>
    </w:p>
    <w:p>
      <w:r>
        <w:rPr>
          <w:rFonts w:ascii="맑은 고딕" w:hAnsi="맑은 고딕" w:eastAsia="맑은 고딕"/>
          <w:b w:val="0"/>
          <w:sz w:val="18"/>
        </w:rPr>
        <w:t>· 다만 그 차이는 부풀어 보인다. 중립 비율이 개발구간 38.6%(KOSPI200) · 38.0%(개별종목)에서 평가구간 16.5% · 28.6% 로 줄었기 때문이다. 그래서 우연 수준을 0 으로 두는 MCC 를 함께 본다 — 개별종목 0.06, KOSPI200 −0.01 로 KOSPI200 은 0 에 가깝다.</w:t>
      </w:r>
    </w:p>
    <w:p>
      <w:r>
        <w:rPr>
          <w:rFonts w:ascii="맑은 고딕" w:hAnsi="맑은 고딕" w:eastAsia="맑은 고딕"/>
          <w:b w:val="0"/>
          <w:sz w:val="18"/>
        </w:rPr>
        <w:t>· 참고로 평가구간에서 가장 많은 클래스(두 트랙 모두 상승)의 비율은 0.5460 · 0.3655 다. 정답을 보고 고른 사후값이라 우위 판정에 쓰지 않는다(ADR 0006 · 0007). 이 값과 비교하면 KOSPI200 −11.30%p, 개별종목 +1.52%p 다.</w:t>
      </w:r>
    </w:p>
    <w:p>
      <w:r>
        <w:rPr>
          <w:rFonts w:ascii="맑은 고딕" w:hAnsi="맑은 고딕" w:eastAsia="맑은 고딕"/>
          <w:b w:val="0"/>
          <w:sz w:val="18"/>
        </w:rPr>
        <w:t>· 선정 근거였던 개발구간 표본 밖 성적은 기준선 대비 KOSPI200 +5.69%p(12폴드 중 7승) · 개별종목 +2.43%p(10승)였다. 다만 다중비교 보정은 둘 다 통과하지 못했다 — KOSPI200 은 100후보 중 1위의 대응표본 t=1.01 (단측 p=0.167), 개별종목은 44후보 중 Bonferroni 를 통과한 후보가 없다. 개발구간 1위는 미리 정한 기준에 따른 선택이지 통계적 우위가 확정된 모델이 아니다.</w:t>
      </w:r>
    </w:p>
    <w:p>
      <w:r>
        <w:rPr>
          <w:rFonts w:ascii="맑은 고딕" w:hAnsi="맑은 고딕" w:eastAsia="맑은 고딕"/>
          <w:b w:val="0"/>
          <w:sz w:val="18"/>
        </w:rPr>
        <w:t>· 마지막 한 구간(ADR 0010) — 개봉 뒤 자료로 다시 학습해 판단일 2026-08-24 의 T+1 → T+6 을 예측했다. KOSPI200 상승 예측·적중, 개별종목 50종목 정확도 0.52, 매수 후보 33건. 표본이 하루라 2년 결과와 섞지 않고 확증이라 부르지 않는다.</w:t>
      </w:r>
    </w:p>
    <w:p>
      <w:r>
        <w:rPr>
          <w:rFonts w:ascii="맑은 고딕" w:hAnsi="맑은 고딕" w:eastAsia="맑은 고딕"/>
          <w:b w:val="0"/>
          <w:sz w:val="18"/>
        </w:rPr>
        <w:t>· 비용 차감 수익률 · Sharpe · MDD 는 백테스트 파트의 홀드아웃 결과를 기다린다. 그래서 위 표는 분류 성능까지다.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6개 충족 · 1개 부분이다.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 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 API 등 · 2010-01-04~2026-09-04 · 일별시세 923만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913종목 포함 · 가격·총수익 두 축(배당 71,681행)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 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 — 기본값이 없어 빠뜨릴 수 없다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틀린 대조군은 23.2% · 9.1% 가 새고 공급 계층은 0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 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 구간 fit 은 쓰지 않는다. 시계열 스케일링은 폴드 안 Pipeline.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전처리 후보 여덟을 12폴드로 재 보니 어느 것도 원값을 넘지 못했다(최선 +0.15%p·p=0.535, 최악 업종 중립화 −3.47%p).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최종 경로는 '전처리 없음' 이다 — 라벨이 절대 밴드라 수준이 정보다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gap=5 를 강제하고 최근 2년을 봉인했다.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⚠️ 청산이 T+6 이라 학습 마지막 행과 평가 첫날이 하루 겹친다 (부록 G)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 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홀드아웃 결과에 MCC · 클래스별 PR-AUC · Balanced accuracy · 혼동행렬을 모두 기록하고 학습 최빈 기준선 대비로 보고한다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 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체결 규칙(T+1 시가) · 거래비용 4수준 · 손익분기 비용 · 5슬리브 성과 계산은 있다.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홀드아웃 구간 비용 차감 성과는 보고 대기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9"/>
        </w:rPr>
        <w:t>QFRS-4 를 채우는 과정에서 표준을 그대로 옮기면 안 된다는 것을 실측으로 확인했다. 퀀트 표준의 횡단면 winsorize + z-score 를 걸었더니 기준선 대비 정확도가 1.58%p 떨어졌다. 우리 라벨이 절대 ±2% 밴드라 변동성 수준이 라벨의 절반을 설명하는데(hv_20 십분위와 비중립 비율의 스피어만 상관 1.0000) 날짜별 z-score 가 그 수준을 지우기 때문이다. 대안 여덟을 12폴드 통제 실험으로 재고 전부 기각했다. 표준이 틀린 것이 아니라 그 표준이 전제하는 상대 목표와 우리 라벨이 다르다.</w:t>
      </w:r>
    </w:p>
    <w:p/>
    <w:p>
      <w:r>
        <w:rPr>
          <w:rFonts w:ascii="맑은 고딕" w:hAnsi="맑은 고딕" w:eastAsia="맑은 고딕"/>
          <w:b w:val="0"/>
          <w:sz w:val="19"/>
        </w:rPr>
        <w:t>그 과정에서 손실의 구조도 갈랐다. 중립화는 회귀 설계행렬에 늘 절편이 들어가므로 어느 축을 지우든 그날 평균이 먼저 지워진다. 업종 라벨을 무작위로 섞어 자유도만 같게 만든 대조군을 세우면, 업종 중립화의 손실 3.47%p 는 날짜 수준 48% · 자유도 33% · 업종 정보 19% 로 나뉜다. 같은 연산이 정보계수 안정성(ICIR)은 9.5% 올리고 정확도는 3.47%p 낮췄으므로, 결론에는 어느 축으로 판정했는지를 함께 적는다.</w:t>
      </w:r>
    </w:p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한계와 발전 가능성</w:t>
      </w:r>
    </w:p>
    <w:p>
      <w:r>
        <w:rPr>
          <w:rFonts w:ascii="맑은 고딕" w:hAnsi="맑은 고딕" w:eastAsia="맑은 고딕"/>
          <w:b w:val="0"/>
          <w:sz w:val="19"/>
        </w:rPr>
        <w:t>알면서 아직 닫지 못한 것을 적는다. 이 목록이 비어 보이는 프로젝트는 대개 재 보지 않은 것이다. 발전 방향은 팀 문서에 이미 적힌 것만 옮겼다.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2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</w:t>
            </w:r>
          </w:p>
        </w:tc>
        <w:tc>
          <w:tcPr>
            <w:tcW w:type="dxa" w:w="29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지금</w:t>
            </w:r>
          </w:p>
        </w:tc>
        <w:tc>
          <w:tcPr>
            <w:tcW w:type="dxa" w:w="322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발전 방향</w:t>
            </w:r>
          </w:p>
        </w:tc>
      </w:tr>
      <w:tr>
        <w:tc>
          <w:tcPr>
            <w:tcW w:type="dxa" w:w="22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KOSPI200 트랙의 MCC 가 0 에 가깝다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MCC −0.01 · 평가구간 54.6% 가 상승이라 “늘 상승” 이 사후적으로 더 맞혔다</w:t>
            </w:r>
          </w:p>
        </w:tc>
        <w:tc>
          <w:tcPr>
            <w:tcW w:type="dxa" w:w="322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결과를 보고 설정을 바꾸지 않는다.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바꾸려면 다음 실험으로 분리해 새로 사전등록한다 (ADR 0007)</w:t>
            </w:r>
          </w:p>
        </w:tc>
      </w:tr>
      <w:tr>
        <w:tc>
          <w:tcPr>
            <w:tcW w:type="dxa" w:w="22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다중비교 보정을 통과한 후보가 없다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개발구간 1위는 100후보 · 44후보 중 최댓값</w:t>
            </w:r>
          </w:p>
        </w:tc>
        <w:tc>
          <w:tcPr>
            <w:tcW w:type="dxa" w:w="322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숫자를 낼 때 시행 횟수를 함께 적는다 (학습 시도 기록 17,388행)</w:t>
            </w:r>
          </w:p>
        </w:tc>
      </w:tr>
      <w:tr>
        <w:tc>
          <w:tcPr>
            <w:tcW w:type="dxa" w:w="22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gap 5 와 T+6 청산이 하루 겹친다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 마지막 행(2024-08-23)의 청산일 = 평가 첫날(2024-09-02)</w:t>
            </w:r>
          </w:p>
        </w:tc>
        <w:tc>
          <w:tcPr>
            <w:tcW w:type="dxa" w:w="322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다음 봉인에서는 gap 을 라벨 지평(6)과 맞춘다</w:t>
            </w:r>
          </w:p>
        </w:tc>
      </w:tr>
      <w:tr>
        <w:tc>
          <w:tcPr>
            <w:tcW w:type="dxa" w:w="22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비용 차감 성과가 아직 없다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홀드아웃은 분류 지표까지 확정</w:t>
            </w:r>
          </w:p>
        </w:tc>
        <w:tc>
          <w:tcPr>
            <w:tcW w:type="dxa" w:w="322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최종 예측 파일을 백테스트에 넣어 수익률 · Sharpe · MDD 를 보고한다</w:t>
            </w:r>
          </w:p>
        </w:tc>
      </w:tr>
      <w:tr>
        <w:tc>
          <w:tcPr>
            <w:tcW w:type="dxa" w:w="22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대시보드가 화면 안에서 학습한다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무료 CPU 에서 제한 · 재시작하면 결과 캐시가 사라진다</w:t>
            </w:r>
          </w:p>
        </w:tc>
        <w:tc>
          <w:tcPr>
            <w:tcW w:type="dxa" w:w="322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 계산한 결과를 읽기만 하는 화면</w:t>
            </w:r>
          </w:p>
        </w:tc>
      </w:tr>
      <w:tr>
        <w:tc>
          <w:tcPr>
            <w:tcW w:type="dxa" w:w="22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비교 기준 · 비용 규격이 하나로 묶이지 않았다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동적 기준선과 모델 라벨의 밴드가 다르다</w:t>
            </w:r>
          </w:p>
        </w:tc>
        <w:tc>
          <w:tcPr>
            <w:tcW w:type="dxa" w:w="322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 지표 · 비용 규격을 정해 비교표를 한 기준으로</w:t>
            </w:r>
          </w:p>
        </w:tc>
      </w:tr>
      <w:tr>
        <w:tc>
          <w:tcPr>
            <w:tcW w:type="dxa" w:w="22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지수 구성종목 변경 편향</w:t>
            </w:r>
          </w:p>
        </w:tc>
        <w:tc>
          <w:tcPr>
            <w:tcW w:type="dxa" w:w="29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KRX Open API 에 구성종목 이력이 없어 크기를 잴 수 없다</w:t>
            </w:r>
          </w:p>
        </w:tc>
        <w:tc>
          <w:tcPr>
            <w:tcW w:type="dxa" w:w="322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구성종목 이력을 확보하면 같은 검증 엔진으로 잰다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엔진과 데이터 계층을 재사용 가능하게 분리해 두었으므로, 2·3차는 아래 자리에 붙는다.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236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  <w:tc>
          <w:tcPr>
            <w:tcW w:type="dxa" w:w="267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계층에서 붙는 자리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as_of 공급 계층 · 팀 데이터셋 반출 · 갱신 파이프라인 · 텍스트 신호(공시 제목)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(비LLM 에이전트 · 강화학습 후보)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 · 수집 계층 · 시점정합 규칙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배열 규격 (W×F) — 환경이 그대로 읽는다 · 재무 · 거시 · 공시 피처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 · 피처 계약 · 실험 기록 규약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 신호 확장(본문) · 대안데이터 팩터 게이트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하락 예측을 실제 포지션으로 쓰는 {−1, 0, +1} 은 선정 기준부터 새 ADR 로 정한다. KOSDAQ 으로 넓힐 때는 반출본에 이미 있는 스팩·관리종목 구분 칸을 유니버스에 적용한다.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