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프로젝트 계획서 (주가지수 데이터 활용 머신러닝·딥러닝)</w:t>
      </w:r>
    </w:p>
    <w:p/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8"/>
        </w:rPr>
        <w:t>Qurious · 최종본 v6.0 · 2026-09-14 기준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59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5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49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Quant +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Curious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팀원(역할)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이동원(팀장) – 데이터 수집·저장·정제, 시점정합 공급 계층, 홀드아웃 개봉 통제, 문서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오준영 – 피처 조합 비교, 모델 학습·선정, 최종 홀드아웃 실행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강민석 – 백테스팅·성과지표, 동적 기준선, Streamlit 대시보드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 – 피처 엔지니어링·기술적 지표·파생 피처, 유동 임계값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발표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신장환·강민석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교차 검수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(부록 B)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2026.09.01 ~ 2026.09.15 (발표장소 : koreaIT노원 B강의실)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6주 3개 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1차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 — 맞히는 것보다 어려운 건, 맞혔다고 말해도 되는지 아는 것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※ 저장소 이름 Alpha_Stack 은 착수 시점의 이름이라 그대로 둔다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주제 선정 이유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개별 기술적 지표(RSI·MACD·이동평균)를 따로 쓰기보다 머신러닝으로 종합했을 때 예측력이 실제로 향상되는지 검증한다.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그런데 주가 예측은 “몇 % 맞혔나”보다 “어떻게 검증했나”가 결론을 좌우한다. 우리 자료로 직접 잰 숫자로 말하면 — 개발구간 3,553거래일에서 아무 모델 없이 “늘 중립”이라고만 답해도 38.50%를 맞힌다(중립이 최빈 클래스다). 통계적으로 유의하려면 41.11%가 필요하다 — 단측 α=0.05 에, 5거래일 레이블이 서로 겹쳐 관측이 독립이 아닌 것을 VIF 3.78 로 반영한 값이다. 이길 수 있는 폭이 2.6%p 남짓이라는 뜻이다.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그 좁은 폭은 실수 한 줄로 사라진다. 레이블을 시가(t)→시가(t+5)로 하루 어긋나게 정렬해 봤더니 상관이 정확히 10.0배로 부풀었다(+0.1709 대 +0.0171). 에러는 나지 않는다. 그래서 예측 모델과 성과 검증 엔진을 같은 비중으로 만들었다.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6주 3개 프로젝트가 모두 “개발 및 성과 검증”으로 끝난다. 매 차수 새로 만드는 것은 앞쪽이고 검증하는 방법은 같다. 1차를 세 프로젝트가 공유할 바닥층으로 설계했다.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숫자는 모두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우리 자료로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잰 값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목표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룩어헤드 없는 성과 검증 엔진 — 워크포워드 gap 잠금·거래비용·기준선·사전등록, 봉인한 최근 2년으로 한 번만 최종 평가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지수 트랙 — KOSPI200 의 5거래일 뒤 등락을 상승/보합/하락 3분류로 예측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종목 트랙 — 업종 시총 상위 10 × 업종별 종목 상위 5에서 확률 랭킹을 매긴다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5슬리브 중첩 운용 — 같은 모델을 매 거래일 돌려 진입 시점을 다섯으로 나눈다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유동 임계값 — 상승/보합/하락 경계를 변동성·거래량에 맞춰 조정한다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신호→포지션 규칙 — 공매도 없는 {0, +1}, 분할매매 비중을 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4종 동일 조건 비교 — LogisticRegression·RandomForest·XGBoost·LightGBM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단일 명령 재현 + Streamlit 시연 화면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전부 구현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(부록 A)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④⑤⑥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팀원 제안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방법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수집 — KRX Open API·DART·공공데이터포털·한국은행 ECOS 에서 2010년부터 전수 수집해 SQLite 한 파일(표 23개)에 쌓는다. 지금은 거래되지 않는 913종목을 지우지 않아 생존편향을 막고, 정리매매·거래정지·신규상장 첫날은 학습 표본에서 뺀다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시점 정합 — T일 종가로 판단, T+1 시가에 체결, T+6 시가에 평가. 자료는 as_of 공급 계층을 지나야만 꺼낼 수 있고, 재무·공시는 접수 다음 거래일부터 보인다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품질 게이트 — 결측·이상치·거래일 달력·봉인 구간 누수를 검사하고, 막는 검사가 하나라도 실패하면 팀 공유 데이터셋 반출이 멈춘다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피처 — 이동평균·RSI·MACD·볼린저·거래량·변동성을 numpy 로 직접 구현하고, 종목·시기마다 다른 눈금을 맞춘 파생 피처 4개를 더했다. 지표마다 손계산 테스트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레이블 — T+1 시가 → T+6 시가 수익률 3분류. 지수 ±1.0% / 종목 ±2.0% (종목 변동성이 지수의 약 2.1배)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종목 선별 — 매 거래일 당시 시총으로 업종 상위 10개, 업종별 KOSPI 보통주 상위 5개를 고른다. 그날까지 받은 업종 정보만 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— 4종 × 피처 조합을 같은 표본·같은 분할로 비교한다(지수 100후보 · 종목 44후보). 학습 시도는 장부에 남긴다. 전처리는 후보 8개를 통제 실험으로 비교해 원값을 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검증·선정 — 날짜 단위 expanding 12폴드 · gap 5 · 기준선은 학습구간 최빈 클래스. 선정 순서는 결과를 보기 전에 고정한다(부록 D)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⑨ 최종 평가 — 2024-09-01 이후 약 2년을 봉인했다가, 설정을 커밋으로 고정한 뒤 한 번만 열었다. 다중비교는 대응표본 t·Bonferroni·Deflated Sharpe 문턱으로 함께 보고한다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세부는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부록 C·D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산출물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Streamlit 대시보드 9페이지 — 기준선·모델·백테스트·비용 민감도·QFRS 를 한 화면에서. 공개 배포 두 곳(Streamlit Cloud · Hugging Face Space)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모델 성능 비교표 — 지수 100후보 · 종목 44후보, 기준선 대비와 다중검정 포함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최종 홀드아웃 결과 — 2년 478거래일을 한 번 평가한 지표와 매수 후보 (부록 E)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재현 파이프라인 — 수집→검사→반출 한 명령, 최종 평가 한 명령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결과 보고서 · 발표자료 · README · 결정 기록(ADR) 10건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2·3차가 그대로 가져다 쓰는 성과 검증 엔진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저장소 github.com/devlee328288/Alpha_Stack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①이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발표 시연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결과는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부록 E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부록</w:t>
      </w:r>
    </w:p>
    <w:p/>
    <w:p>
      <w:r>
        <w:rPr>
          <w:rFonts w:ascii="맑은 고딕" w:hAnsi="맑은 고딕" w:eastAsia="맑은 고딕"/>
          <w:b/>
          <w:sz w:val="24"/>
        </w:rPr>
        <w:t>부록 A. 범위와 달성 현황</w:t>
      </w:r>
    </w:p>
    <w:p>
      <w:r>
        <w:rPr>
          <w:rFonts w:ascii="맑은 고딕" w:hAnsi="맑은 고딕" w:eastAsia="맑은 고딕"/>
          <w:b w:val="0"/>
          <w:sz w:val="19"/>
        </w:rPr>
        <w:t>계획서에 적은 범위를 필수와 선택으로 나누고, 1차를 마친 상태를 코드와 결과 파일로 확인해 적었다. 필수 열 개는 모두 구현했고, 선택 범위는 만든 것과 하지 않은 것을 함께 적는다.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9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범위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3214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성과 검증 엔진 (워크포워드·거래비용·기준선)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gap 이 라벨 지평보다 짧으면 LeakageError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evaluation/ 은 models/ 를 import 하지 않는다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 지수 트랙 — KOSPI200 3분류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확정 — 조합 C · LogisticRegression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 종목 트랙 — 선별 후 랭킹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오준영·신장환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확정 — 조합 K · LogisticRegression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 5슬리브 중첩 운용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매일의 5거래일 예측을 다섯 슬리브로 나눠 일별 성과를 계산한다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⑤ 유동 임계값 (변동성·거래량 스케일)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6파라미터 동적 기준선 · CMA-ES 탐색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최종 모델 라벨은 고정 밴드(±1.0% · ±2.0%)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⑥ 신호→포지션 규칙과 시드 배분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{0, +1} · 두 트랙 모두 상승일 때 매수 후보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분할매매 A 20-30-50% · B 고정 25% · C 올인/올아웃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⑦ 모델 4종 동일 조건 비교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지수 100후보 · 종목 44후보(11조합 × 4)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학습 시도 기록 17,388행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⑧ 수집·품질 게이트·공급 계층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일별시세 9,231,938행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표 23개 · 검사가 실패하면 반출이 멈춘다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⑨ 봉인 홀드아웃 1회 평가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이동원·오준영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완료 — 개봉 기록 1줄 · 판정 ‘확증 가능’ (부록 E)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⑩ Streamlit 시연 화면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9페이지 · 공개 배포 두 곳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⑪ 시장 균열 스코어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균열 스코어 자체는 만들지 않았다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시장 내부 상태 피처 5칸(상승 종목 비율 · 200일선 위 비율 · TRIN 등)은 만들었고 최종 조합에는 넣지 않았다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⑫ 공시 제목 텍스트 신호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5일 방향과 연관이 거의 없어(크래머 V 0.026) 피처로 넣지 않았다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⑬ Keras LSTM/GRU 비교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하지 않았다 — 같은 검증 엔진에 붙일 수 있다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⑭ 버튼 갱신 파이프라인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이동원·강민석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구현 — 수집→검사→판정→HF 한 명령 · 잠금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2·3차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⑮ 비LLM 에이전트 관측 규격 (W×F 배열)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명세만 — 2·3차가 데이터 코드를 고치지 않고 붙는 자리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⑯ GitHub Actions 검사용 CI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2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도입하지 않았다 — 검사는 사람이 실행한다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B. 역할과 교차 검수 규약</w:t>
      </w:r>
    </w:p>
    <w:p>
      <w:r>
        <w:rPr>
          <w:rFonts w:ascii="맑은 고딕" w:hAnsi="맑은 고딕" w:eastAsia="맑은 고딕"/>
          <w:b w:val="0"/>
          <w:sz w:val="19"/>
        </w:rPr>
        <w:t>아래 담당은 “무엇을 했는지 말할 수 있게” 나눈 것이지 벽을 세운 것이 아니다. 각자 자기 영역을 끌고 가되 옆 담당의 산출물을 한 번 더 확인했다.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45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영역</w:t>
            </w:r>
          </w:p>
        </w:tc>
        <w:tc>
          <w:tcPr>
            <w:tcW w:type="dxa" w:w="97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주담당</w:t>
            </w:r>
          </w:p>
        </w:tc>
        <w:tc>
          <w:tcPr>
            <w:tcW w:type="dxa" w:w="97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교차 검수</w:t>
            </w:r>
          </w:p>
        </w:tc>
        <w:tc>
          <w:tcPr>
            <w:tcW w:type="dxa" w:w="409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산출물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수집·정제·시점정합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409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SQLite 표 23개 · as_of 공급 계층 · 품질 검증기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팀 데이터셋 반출 · 홀드아웃 개봉 기록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피처 엔지니어링·기술적 지표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409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원자 지표 · 파생 피처 4개 · 유동 임계값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손계산 테스트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모델 개발·학습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409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조합 비교(지수 100 · 종목 44) · 최종 C·K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홀드아웃 실행기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백테스팅·성과지표·대시보드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97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409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동적 기준선 · 분할매매 A/B/C · 비용 민감도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대시보드 9페이지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① 모든 코드는 Pull Request 로 병합하고 교차 검수자가 한 번 더 확인한다.</w:t>
      </w:r>
    </w:p>
    <w:p>
      <w:r>
        <w:rPr>
          <w:rFonts w:ascii="맑은 고딕" w:hAnsi="맑은 고딕" w:eastAsia="맑은 고딕"/>
          <w:b w:val="0"/>
          <w:sz w:val="18"/>
        </w:rPr>
        <w:t>② 자신이 만든 기능은 팀 회의에서 5분 안에 설명할 수 있어야 한다. 설명하지 못하는 코드는 병합하지 않는다 — 도구를 쓰는 것은 자유이나 결과를 아는 것은 책임이다.</w:t>
      </w:r>
    </w:p>
    <w:p>
      <w:r>
        <w:rPr>
          <w:rFonts w:ascii="맑은 고딕" w:hAnsi="맑은 고딕" w:eastAsia="맑은 고딕"/>
          <w:b w:val="0"/>
          <w:sz w:val="18"/>
        </w:rPr>
        <w:t>③ 파트 경계를 넘어야 할 때는 먼저 담당자에게 묻고, PR 본문과 문서에 왜 넘었는지 남긴다.</w:t>
      </w:r>
    </w:p>
    <w:p>
      <w:r>
        <w:rPr>
          <w:rFonts w:ascii="맑은 고딕" w:hAnsi="맑은 고딕" w:eastAsia="맑은 고딕"/>
          <w:b w:val="0"/>
          <w:sz w:val="18"/>
        </w:rPr>
        <w:t>④ 주요 결정은 한 장짜리 기록(ADR)으로 남긴다 — 무엇을, 왜, 어떤 대안을 버렸는지. 1차에서 10건을 남겼다.</w:t>
      </w:r>
    </w:p>
    <w:p>
      <w:r>
        <w:rPr>
          <w:rFonts w:ascii="맑은 고딕" w:hAnsi="맑은 고딕" w:eastAsia="맑은 고딕"/>
          <w:b w:val="0"/>
          <w:sz w:val="18"/>
        </w:rPr>
        <w:t>⑤ 발표는 신장환·강민석이 함께 한다.</w:t>
      </w:r>
    </w:p>
    <w:p/>
    <w:p>
      <w:r>
        <w:rPr>
          <w:rFonts w:ascii="맑은 고딕" w:hAnsi="맑은 고딕" w:eastAsia="맑은 고딕"/>
          <w:b/>
          <w:sz w:val="24"/>
        </w:rPr>
        <w:t>부록 C. 시스템 구성과 데이터</w:t>
      </w:r>
    </w:p>
    <w:p>
      <w:r>
        <w:rPr>
          <w:rFonts w:ascii="맑은 고딕" w:hAnsi="맑은 고딕" w:eastAsia="맑은 고딕"/>
          <w:b w:val="0"/>
          <w:sz w:val="19"/>
        </w:rPr>
        <w:t>자료는 반드시 시점정합 공급 계층을 지나야 모델에 들어간다. 이 문을 지나지 않는 조회는 테스트가 막는다. “그때 알 수 있었던 것”만 모델에 들어가게 하는 구조적 장치다. 홀드아웃을 여는 문은 따로 하나이고, 열 때마다 기록이 한 줄 남는다.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364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시스템아키텍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36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1] 시스템 구성 — 수집 → 저장 → 공급(as_of) → 피처 → 모델 → 검증·백테스트 → 화면</w:t>
      </w:r>
    </w:p>
    <w:p/>
    <w:p>
      <w:r>
        <w:rPr>
          <w:rFonts w:ascii="맑은 고딕" w:hAnsi="맑은 고딕" w:eastAsia="맑은 고딕"/>
          <w:b w:val="0"/>
          <w:sz w:val="19"/>
        </w:rPr>
        <w:t>모든 자료는 SQLite 한 파일(표 23개 · 스키마 v16)에 쌓고, 팀원에게는 개발구간(~2024-08-31)만 잘라 Hugging Face 비공개 저장소로 나눴다. 원자료는 코드 저장소에 두지 않는다. 행 수는 2026-09-14 에 DB 를 읽기 전용으로 열어 셌다.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45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자료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규모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기간</w:t>
            </w:r>
          </w:p>
        </w:tc>
        <w:tc>
          <w:tcPr>
            <w:tcW w:type="dxa" w:w="236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출처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일별시세 (수정주가 · 총수익)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9,231,938행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2010-01-04 ~ 2026-09-04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KRX Open API · FinanceDataReader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종목기본정보 (그날 기준)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9,229,173행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2010-01-04 ~ 2026-09-03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KRX Open API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종목 식별 (법인등록번호 · ISIN)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4,197,242행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2020-01-02 ~ 2026-08-31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공공데이터포털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공시 목록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1,555,556행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2010-01-04 ~ 2026-09-04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DART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재무제표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662,933행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접수 2015-09-23 ~ 2026-08-14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DART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196,272행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2010-01-04 ~ 2026-09-04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KRX Open API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배당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71,681행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 2026-09-03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공공데이터포털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기업행위 사건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44,290행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 2026-09-04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시세·종목기본정보에서 판정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업종 스냅샷 (사람이 받은 36장)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40,874행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2024-01 ~ 2026-09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KRX 화면 — 약관상 자동 수집 금지</w:t>
            </w:r>
          </w:p>
        </w:tc>
      </w:tr>
      <w:tr>
        <w:tc>
          <w:tcPr>
            <w:tcW w:type="dxa" w:w="245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거시지표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17,864행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2009-08 ~</w:t>
            </w:r>
          </w:p>
        </w:tc>
        <w:tc>
          <w:tcPr>
            <w:tcW w:type="dxa" w:w="236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한국은행 ECOS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각 자료가 어느 날부터 보이는지를 자료마다 정해 두었다. 자료를 꺼내는 함수는 as_of 에 기본값이 없어 빠뜨리면 멈춘다.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4252"/>
        <w:gridCol w:w="4252"/>
      </w:tblGrid>
      <w:tr>
        <w:tc>
          <w:tcPr>
            <w:tcW w:type="dxa" w:w="189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자료</w:t>
            </w:r>
          </w:p>
        </w:tc>
        <w:tc>
          <w:tcPr>
            <w:tcW w:type="dxa" w:w="6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그 행에서 보이기 시작하는 날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시세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T일 종가로 판단하고 T+1 시가에 체결한다 — 라벨도 T+1 시가 → T+6 시가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재무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DART 접수일 다음 거래일 · 정정본은 정정 접수일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공시 제목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접수일 다음 거래일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거시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발표 규칙으로 보수적으로 계산한 날 (ECOS 가 발표일을 주지 않는다)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업종 · 주권종류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스냅샷 다음 거래일 · 그날까지 받은 것 중 가장 최근 하나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일부러 틀리게 붙인 대조군과 비교했다 — 결산기 끝 날짜로 붙이면 23.2%, 원본 최초 접수일로 붙이면 9.1% 의 행이 그날 알 수 없던 재무 보고서를 봤고, 공급 계층은 0행이었다.</w:t>
      </w:r>
    </w:p>
    <w:p>
      <w:r>
        <w:rPr>
          <w:rFonts w:ascii="맑은 고딕" w:hAnsi="맑은 고딕" w:eastAsia="맑은 고딕"/>
          <w:b w:val="0"/>
          <w:sz w:val="18"/>
        </w:rPr>
        <w:t>※ 생존편향 — 수집 마지막 날(2026-09-04) 기준 3,678종목 중 913종목(24.8%)이 그 전에 거래가 끊겼고 지우지 않았다(개발구간 안에서 끊긴 종목 750). 대신 가격제한폭이 없는 정리매매 구간, 체결이 없는 거래정지 행, 신규상장 첫날은 학습 표본에서 뺀다. 폐지 종목을 넣었더니 실제로는 체결될 수 없는 급락 봉이 반대 방향의 편향을 만들었기 때문이다.</w:t>
      </w:r>
    </w:p>
    <w:p>
      <w:r>
        <w:rPr>
          <w:rFonts w:ascii="맑은 고딕" w:hAnsi="맑은 고딕" w:eastAsia="맑은 고딕"/>
          <w:b w:val="0"/>
          <w:sz w:val="18"/>
        </w:rPr>
        <w:t>※ 이상치는 크기로 자르지 않는다. 거래소 등락률과 어긋나는 행과 실제로 일어난 극단 사건(권리락·거래정지 해제 등)을 칸으로 구분해 표시한다. 종목코드가 재사용된 자리에서 앞 회사 기록이 붙던 행(개발구간 74 · 홀드아웃 187)은 상장 구간 판정으로 0 으로 만들었다.</w:t>
      </w:r>
    </w:p>
    <w:p/>
    <w:p>
      <w:r>
        <w:rPr>
          <w:rFonts w:ascii="맑은 고딕" w:hAnsi="맑은 고딕" w:eastAsia="맑은 고딕"/>
          <w:b/>
          <w:sz w:val="24"/>
        </w:rPr>
        <w:t>부록 D. 라벨 · 피처 · 모델 · 검증</w:t>
      </w:r>
    </w:p>
    <w:p>
      <w:r>
        <w:rPr>
          <w:rFonts w:ascii="맑은 고딕" w:hAnsi="맑은 고딕" w:eastAsia="맑은 고딕"/>
          <w:b w:val="0"/>
          <w:sz w:val="19"/>
        </w:rPr>
        <w:t>라벨은 개인이 실제로 체결할 수 있는 시점에 맞췄다. 종가를 보고 나면 장이 끝나 있으므로 T일 종가로 판단하고 T+1 시가에 사서 T+6 시가에 평가한다. 공매도는 개인이 실행하기 어려워 하락 예측은 “보유하지 않음”으로만 실행한다.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30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KOSPI200</w:t>
            </w:r>
          </w:p>
        </w:tc>
        <w:tc>
          <w:tcPr>
            <w:tcW w:type="dxa" w:w="346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개별종목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예측 지평</w:t>
            </w:r>
          </w:p>
        </w:tc>
        <w:tc>
          <w:tcPr>
            <w:tcW w:type="dxa" w:w="330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5거래일</w:t>
            </w:r>
          </w:p>
        </w:tc>
        <w:tc>
          <w:tcPr>
            <w:tcW w:type="dxa" w:w="346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5거래일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· 평가</w:t>
            </w:r>
          </w:p>
        </w:tc>
        <w:tc>
          <w:tcPr>
            <w:tcW w:type="dxa" w:w="330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T+1 시가 → T+6 시가</w:t>
            </w:r>
          </w:p>
        </w:tc>
        <w:tc>
          <w:tcPr>
            <w:tcW w:type="dxa" w:w="346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T+1 수정시가 → T+6 수정시가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중립대</w:t>
            </w:r>
          </w:p>
        </w:tc>
        <w:tc>
          <w:tcPr>
            <w:tcW w:type="dxa" w:w="330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±1.0%</w:t>
            </w:r>
          </w:p>
        </w:tc>
        <w:tc>
          <w:tcPr>
            <w:tcW w:type="dxa" w:w="346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±2.0% — 변동성이 지수의 약 2.1배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포지션</w:t>
            </w:r>
          </w:p>
        </w:tc>
        <w:tc>
          <w:tcPr>
            <w:tcW w:type="dxa" w:w="330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{0, +1} — 공매도 없음</w:t>
            </w:r>
          </w:p>
        </w:tc>
        <w:tc>
          <w:tcPr>
            <w:tcW w:type="dxa" w:w="346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{0, +1}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결정 기록</w:t>
            </w:r>
          </w:p>
        </w:tc>
        <w:tc>
          <w:tcPr>
            <w:tcW w:type="dxa" w:w="330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ADR 0002</w:t>
            </w:r>
          </w:p>
        </w:tc>
        <w:tc>
          <w:tcPr>
            <w:tcW w:type="dxa" w:w="346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ADR 0006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최종 피처 조합. 개별종목은 열한 조합 × 모델 4종을 같은 표본에서 비교했고, 열한 조합 중 여덟에서 LogisticRegression 이 가장 좋았다. 피처 수와 성적 사이에는 관계가 없었다(스피어만 ρ=−0.05, p=0.88) — 개수가 아니라 어떤 축을 담았는지가 갈랐다.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트랙 · 조합</w:t>
            </w:r>
          </w:p>
        </w:tc>
        <w:tc>
          <w:tcPr>
            <w:tcW w:type="dxa" w:w="393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피처</w:t>
            </w:r>
          </w:p>
        </w:tc>
        <w:tc>
          <w:tcPr>
            <w:tcW w:type="dxa" w:w="283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재나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KOSPI200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조합 C · 6개</w:t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sma_gap_5_20 · macd_hist_ratio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추세의 방향과 강도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rsi_14 · bb_position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과매수·과매도 · 볼린저밴드 안 위치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hv_20 · vol_ratio_20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20일 변동성 · 평소 대비 거래량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개별종목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조합 K · 14개</w:t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atr_ratio · bb_bandwidth · hv_regime · hv_20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변동성의 크기와 국면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five_day_return · daily_return · relative_ret_5_market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최근 수익률 · 시장 대비 성과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sma_gap_5_20 · sma_gap_20_60 · macd_hist_ratio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단기·중기 추세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rsi_14 · bb_position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과매수·과매도 · 위치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393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vol_ratio_20 · obv_slope_20</w:t>
            </w:r>
          </w:p>
        </w:tc>
        <w:tc>
          <w:tcPr>
            <w:tcW w:type="dxa" w:w="283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거래량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모델을 고르는 순서와 최종 설정은 홀드아웃을 열기 전에 커밋으로 고정했다.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4252"/>
        <w:gridCol w:w="4252"/>
      </w:tblGrid>
      <w:tr>
        <w:tc>
          <w:tcPr>
            <w:tcW w:type="dxa" w:w="189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6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값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후보 모델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LogisticRegression · RandomForest · XGBoost · LightGBM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후보 수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KOSPI200 100개 · 개별종목 44개 (11조합 × 4모델)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분할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날짜 단위 expanding 12폴드 · 최초 학습 750거래일 · 검증 60거래일 · gap 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KOSPI200 표본 밖 검증 2014-02-17 ~ 2024-08-22 · 720거래일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폴드마다 학습구간 최빈 클래스를 검증구간 전체에 예측한 정확도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검증구간 최빈 비율은 정답을 본 값이라 선정에 쓰지 않는다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KOSPI200 선정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관문 — 기준선 대비 정확도 &gt; 0 이고 기준선을 이긴 폴드 7/12 이상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→ 상승 PR-AUC → 비용 차감 ΔSharpe(폴드 중앙값) → 상승 Precision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개별종목 선정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대비 정확도 → Macro F1 → 기준선을 이긴 폴드 수 (ADR 0007)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전처리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후보 8개를 12폴드 통제 실험으로 비교 → 원값 유지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모델 안 StandardScaler 는 폴드의 학습 행으로만 맞춘다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개봉 전 고정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class weight 두 트랙 모두 balanced · KOSPI200 상승 임계 0.3375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두 트랙이 모두 상승일 때만 매수 후보 · 설정 지문 5299a08f (ADR 0009)</w:t>
            </w:r>
          </w:p>
        </w:tc>
      </w:tr>
      <w:tr>
        <w:tc>
          <w:tcPr>
            <w:tcW w:type="dxa" w:w="189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홀드아웃</w:t>
            </w:r>
          </w:p>
        </w:tc>
        <w:tc>
          <w:tcPr>
            <w:tcW w:type="dxa" w:w="6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2024-09-01 이후 약 2년 봉인 (ADR 0005)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결과를 본 뒤 모델·피처·임계값을 다시 고르지 않는다 (ADR 0007)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KOSPI200 선정에서 정확도 관문을 빼고 상승 PR-AUC 만 보면 1위가 조합 E 로 바뀔 수 있다. 관문의 7/12 는 통계적 유의성 문턱이 아니라 저성능 후보를 거르는 최소 운영 안정성 기준이다. 선정 축이 결론을 바꿀 수 있으므로 어느 축으로 골랐는지를 결과와 함께 적는다.</w:t>
      </w:r>
    </w:p>
    <w:p/>
    <w:p>
      <w:r>
        <w:rPr>
          <w:rFonts w:ascii="맑은 고딕" w:hAnsi="맑은 고딕" w:eastAsia="맑은 고딕"/>
          <w:b/>
          <w:sz w:val="24"/>
        </w:rPr>
        <w:t>부록 E. 최종 결과 — 봉인한 2년을 한 번 평가</w:t>
      </w:r>
    </w:p>
    <w:p>
      <w:r>
        <w:rPr>
          <w:rFonts w:ascii="맑은 고딕" w:hAnsi="맑은 고딕" w:eastAsia="맑은 고딕"/>
          <w:b w:val="0"/>
          <w:sz w:val="19"/>
        </w:rPr>
        <w:t>평가 2024-09-02 ~ 2026-08-24 (478거래일). 2026-09-11 에 팀 합의로 봉인을 한 번 열고(reports/unseal.log 기록 1줄), 개봉 전에 커밋한 설정(ADR 0009) 그대로 한 번 실행했다. 사전등록이 개봉보다 앞서 판정은 ‘확증 가능’이다. 봉인 끝을 2026-09-01 로 둔 것은 그 뒤 사흘의 수정주가가 계산 전이었기 때문이다.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67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</w:t>
            </w:r>
          </w:p>
        </w:tc>
        <w:tc>
          <w:tcPr>
            <w:tcW w:type="dxa" w:w="291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KOSPI200 · 조합 C</w:t>
            </w:r>
          </w:p>
        </w:tc>
        <w:tc>
          <w:tcPr>
            <w:tcW w:type="dxa" w:w="2914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개별종목 · 조합 K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평가 표본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478거래일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23,567건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정확도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0.4331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0.3807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같은 기간 기준선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(평가구간 최빈 = 상승)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0.5460 (261 / 478)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0.3655 (8,614 / 23,567)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대비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−11.30%p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+1.52%p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Macro F1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0.3126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0.3740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Balanced accuracy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0.3285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0.3741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MCC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−0.0114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0.0585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하락 재현율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0.1087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0.4498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상승 Precision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0.5415 (176 / 325)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0.3846 (3,420 / 8,893)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매수 후보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(두 트랙 모두 상승)</w:t>
            </w:r>
          </w:p>
        </w:tc>
        <w:tc>
          <w:tcPr>
            <w:tcW w:type="dxa" w:w="291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914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7,397 / 23,567건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· 개별종목은 같은 기간 기준선을 +1.52%p 넘었다. KOSPI200 은 평가구간의 54.6% 가 상승이었고, 모델은 그 기준선을 넘지 못했다(MCC −0.01). 결과를 본 뒤 모델·피처·임계값을 다시 고르지 않았다.</w:t>
      </w:r>
    </w:p>
    <w:p>
      <w:r>
        <w:rPr>
          <w:rFonts w:ascii="맑은 고딕" w:hAnsi="맑은 고딕" w:eastAsia="맑은 고딕"/>
          <w:b w:val="0"/>
          <w:sz w:val="18"/>
        </w:rPr>
        <w:t>· 기준선은 같은 기간 안에서 잰다. 개발구간 기준선(KOSPI200 0.3972 · 개별종목 0.3969)과 홀드아웃 정확도를 나란히 놓으면 기간이 섞여 결론이 뒤집힌다.</w:t>
      </w:r>
    </w:p>
    <w:p>
      <w:r>
        <w:rPr>
          <w:rFonts w:ascii="맑은 고딕" w:hAnsi="맑은 고딕" w:eastAsia="맑은 고딕"/>
          <w:b w:val="0"/>
          <w:sz w:val="18"/>
        </w:rPr>
        <w:t>· 선정 근거였던 개발구간 표본 밖 성적은 기준선 대비 KOSPI200 +5.69%p(12폴드 중 7승) · 개별종목 +2.43%p(10승)였다. 다만 다중비교 보정은 둘 다 통과하지 못했다 — KOSPI200 은 100후보 중 1위의 대응표본 t=1.01 (단측 p=0.167), 개별종목은 44후보 중 Bonferroni 를 통과한 후보가 없다. 개발구간 1위는 미리 정한 기준에 따른 선택이지 통계적 우위가 확정된 모델이 아니다.</w:t>
      </w:r>
    </w:p>
    <w:p>
      <w:r>
        <w:rPr>
          <w:rFonts w:ascii="맑은 고딕" w:hAnsi="맑은 고딕" w:eastAsia="맑은 고딕"/>
          <w:b w:val="0"/>
          <w:sz w:val="18"/>
        </w:rPr>
        <w:t>· 마지막 한 구간(ADR 0010) — 개봉 뒤 자료로 다시 학습해 판단일 2026-08-24 의 T+1 → T+6 을 예측했다. KOSPI200 상승 예측·적중, 개별종목 50종목 정확도 0.52, 매수 후보 33건. 표본이 하루라 2년 결과와 섞지 않고 확증이라 부르지 않는다.</w:t>
      </w:r>
    </w:p>
    <w:p>
      <w:r>
        <w:rPr>
          <w:rFonts w:ascii="맑은 고딕" w:hAnsi="맑은 고딕" w:eastAsia="맑은 고딕"/>
          <w:b w:val="0"/>
          <w:sz w:val="18"/>
        </w:rPr>
        <w:t>· 비용 차감 수익률 · Sharpe · MDD 는 백테스트 파트의 홀드아웃 결과를 기다린다. 그래서 위 표는 분류 성능까지다.</w:t>
      </w:r>
    </w:p>
    <w:p/>
    <w:p>
      <w:r>
        <w:rPr>
          <w:rFonts w:ascii="맑은 고딕" w:hAnsi="맑은 고딕" w:eastAsia="맑은 고딕"/>
          <w:b/>
          <w:sz w:val="24"/>
        </w:rPr>
        <w:t>부록 F. QFRS 준수 현황</w:t>
      </w:r>
    </w:p>
    <w:p>
      <w:r>
        <w:rPr>
          <w:rFonts w:ascii="맑은 고딕" w:hAnsi="맑은 고딕" w:eastAsia="맑은 고딕"/>
          <w:b w:val="0"/>
          <w:sz w:val="19"/>
        </w:rPr>
        <w:t>2026년 8월 Artificial Intelligence Review 에 실린 QFRS 는 AI 기반 금융 예측·트레이딩 연구가 지켜야 할 7개 보고 표준이다. 저자가 Scopus 색인 논문 41편을 감사했더니 7개를 모두 충족한 논문이 한 편도 없었다(평균 4.22개). 특히 경제적 백테스트는 87.8%가, 인과적 스케일링은 68.3%가 실패했다.</w:t>
      </w:r>
    </w:p>
    <w:p>
      <w:r>
        <w:rPr>
          <w:rFonts w:ascii="맑은 고딕" w:hAnsi="맑은 고딕" w:eastAsia="맑은 고딕"/>
          <w:b w:val="0"/>
          <w:sz w:val="19"/>
        </w:rPr>
        <w:t>이 프로젝트의 논지가 “어떻게 검증했나”이므로 그 기준을 그대로 가져와 우리 현황을 표로 놓는다. 6개 충족 · 1개 부분이다.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기준</w:t>
            </w:r>
          </w:p>
        </w:tc>
        <w:tc>
          <w:tcPr>
            <w:tcW w:type="dxa" w:w="25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논문이 요구하는 것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우리 현황</w:t>
            </w:r>
          </w:p>
        </w:tc>
        <w:tc>
          <w:tcPr>
            <w:tcW w:type="dxa" w:w="330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근거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QFRS-1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Dataset specification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data handling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출처·버전·기간 명시. 주식이면 상장폐지 종목 포함 여부와 처리 방법을 밝혀 생존편향을 통제할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KRX Open API 등 · 2010-01-04~2026-09-04 · 일별시세 923만 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중도 소멸 913종목 포함 · 가격·총수익 두 축(배당 71,681행)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QFRS-2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Labeling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(ground truth construction)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정의와 임계값을 명시. 아주 작은 등락을 맞히는 이진분류는 통계적으로만 맞고 경제적으로 무의미하다고 지적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시가(t+1)→시가(t+6) 3분류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밴드를 실측으로 정함 (지수 ±1.0% / 종목 ±2.0%)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QFRS-3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feature engineering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(anti-leakage by design)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피처가 미래를 보지 않도록 설계 단계에서 차단할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as_of 공급 계층 — 기본값이 없어 빠뜨릴 수 없다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틀린 대조군은 23.2% · 9.1% 가 새고 공급 계층은 0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QFRS-4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Scaling / Normalisation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스케일링을 전체 자료에 먼저 적용하면 누수. 학습구간에서 fit 하고 검증·테스트에 transform 만 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전 구간 fit 은 쓰지 않는다. 시계열 스케일링은 폴드 안 Pipeline.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전처리 후보 여덟을 12폴드로 재 보니 어느 것도 원값을 넘지 못했다(최선 +0.15%p·p=0.535, 최악 업종 중립화 −3.47%p).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최종 경로는 '전처리 없음' 이다 — 라벨이 절대 밴드라 수준이 정보다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Train/Validation/Test split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레이블이 h 기간 앞을 보면 창 사이에 최소 h 만큼 embargo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워크포워드가 gap=5 를 강제하고 최근 2년을 봉인했다.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⚠️ 청산이 T+6 이라 학습 마지막 행과 평가 첫날이 하루 겹친다 (부록 G)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QFRS-6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evaluation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task types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주 지표로 MCC·PR-AUC·Balanced Accuracy·혼동행렬. F1·ROC-AUC 는 보조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홀드아웃 결과에 MCC · 클래스별 PR-AUC · Balanced accuracy · 혼동행렬을 모두 기록하고 같은 기간 기준선 대비로 보고한다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QFRS-7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Backtest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(economic performance)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수수료·슬리피지·체결 규칙을 밝힌 경제적 백테스트. 필수(M) 항목이 하나라도 없으면 Fail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체결 규칙(T+1 시가) · 거래비용 4수준 · 손익분기 비용 · 5슬리브 성과 계산은 있다.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홀드아웃 구간 비용 차감 성과는 보고 대기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QFRS-4 를 채우는 과정에서 표준을 그대로 옮기면 안 된다는 것을 실측으로 확인했다. 퀀트 표준의 횡단면 winsorize + z-score 를 걸었더니 기준선 대비 정확도가 1.58%p 떨어졌다. 우리 라벨이 절대 ±2% 밴드라 변동성 수준이 라벨의 절반을 설명하는데(hv_20 십분위와 비중립 비율의 스피어만 상관 1.0000) 날짜별 z-score 가 그 수준을 지우기 때문이다. 대안 여덟을 12폴드 통제 실험으로 재고 전부 기각했다. 표준이 틀린 것이 아니라 그 표준이 전제하는 상대 목표와 우리 라벨이 다르다.</w:t>
      </w:r>
    </w:p>
    <w:p/>
    <w:p>
      <w:r>
        <w:rPr>
          <w:rFonts w:ascii="맑은 고딕" w:hAnsi="맑은 고딕" w:eastAsia="맑은 고딕"/>
          <w:b w:val="0"/>
          <w:sz w:val="19"/>
        </w:rPr>
        <w:t>그 과정에서 손실의 구조도 갈랐다. 중립화는 회귀 설계행렬에 늘 절편이 들어가므로 어느 축을 지우든 그날 평균이 먼저 지워진다. 업종 라벨을 무작위로 섞어 자유도만 같게 만든 대조군을 세우면, 업종 중립화의 손실 3.47%p 는 날짜 수준 48% · 자유도 33% · 업종 정보 19% 로 나뉜다. 같은 연산이 정보계수 안정성(ICIR)은 9.5% 올리고 정확도는 3.47%p 낮췄으므로, 결론에는 어느 축으로 판정했는지를 함께 적는다.</w:t>
      </w:r>
    </w:p>
    <w:p/>
    <w:p>
      <w:r>
        <w:rPr>
          <w:rFonts w:ascii="맑은 고딕" w:hAnsi="맑은 고딕" w:eastAsia="맑은 고딕"/>
          <w:b w:val="0"/>
          <w:sz w:val="17"/>
        </w:rPr>
        <w:t>출처: Khushi M. QFRS: quantitative finance reporting standards for forecasting, evaluation and trading claims. Artif Intell Rev (2026). https://doi.org/10.1007/s10462-026-11664-w</w:t>
      </w:r>
    </w:p>
    <w:p>
      <w:r>
        <w:rPr>
          <w:rFonts w:ascii="맑은 고딕" w:hAnsi="맑은 고딕" w:eastAsia="맑은 고딕"/>
          <w:b w:val="0"/>
          <w:sz w:val="17"/>
        </w:rPr>
        <w:t>※ 이 논문은 온라인 선공개(accepted manuscript) 상태라 권·호·페이지가 아직 없다. 위 형식이 원문이 지정한 인용 방식이다. Open Access(CC-BY)라 전문을 볼 수 있다.</w:t>
      </w:r>
    </w:p>
    <w:p/>
    <w:p>
      <w:r>
        <w:rPr>
          <w:rFonts w:ascii="맑은 고딕" w:hAnsi="맑은 고딕" w:eastAsia="맑은 고딕"/>
          <w:b/>
          <w:sz w:val="24"/>
        </w:rPr>
        <w:t>부록 G. 한계와 발전 가능성</w:t>
      </w:r>
    </w:p>
    <w:p>
      <w:r>
        <w:rPr>
          <w:rFonts w:ascii="맑은 고딕" w:hAnsi="맑은 고딕" w:eastAsia="맑은 고딕"/>
          <w:b w:val="0"/>
          <w:sz w:val="19"/>
        </w:rPr>
        <w:t>알면서 아직 닫지 못한 것을 적는다. 이 목록이 비어 보이는 프로젝트는 대개 재 보지 않은 것이다. 발전 방향은 팀 문서에 이미 적힌 것만 옮겼다.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2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</w:t>
            </w:r>
          </w:p>
        </w:tc>
        <w:tc>
          <w:tcPr>
            <w:tcW w:type="dxa" w:w="29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지금</w:t>
            </w:r>
          </w:p>
        </w:tc>
        <w:tc>
          <w:tcPr>
            <w:tcW w:type="dxa" w:w="322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발전 방향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KOSPI200 트랙이 같은 기간 기준선을 넘지 못했다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상승이 54.6% 인 2년에서 정확도 0.4331 · MCC −0.01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결과를 보고 설정을 바꾸지 않는다.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바꾸려면 다음 실험으로 분리해 새로 사전등록한다 (ADR 0007)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다중비교 보정을 통과한 후보가 없다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개발구간 1위는 100후보 · 44후보 중 최댓값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숫자를 낼 때 시행 횟수를 함께 적는다 (학습 시도 기록 17,388행)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gap 5 와 T+6 청산이 하루 겹친다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학습 마지막 행(2024-08-23)의 청산일 = 평가 첫날(2024-09-02)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다음 봉인에서는 gap 을 라벨 지평(6)과 맞춘다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비용 차감 성과가 아직 없다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홀드아웃은 분류 지표까지 확정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예측 파일을 백테스트에 넣어 수익률 · Sharpe · MDD 를 보고한다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대시보드가 화면 안에서 학습한다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무료 CPU 에서 제한 · 재시작하면 결과 캐시가 사라진다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미리 계산한 결과를 읽기만 하는 화면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비교 기준 · 비용 규격이 하나로 묶이지 않았다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동적 기준선과 모델 라벨의 밴드가 다르다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 지표 · 비용 규격을 정해 비교표를 한 기준으로</w:t>
            </w:r>
          </w:p>
        </w:tc>
      </w:tr>
      <w:tr>
        <w:tc>
          <w:tcPr>
            <w:tcW w:type="dxa" w:w="22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지수 구성종목 변경 편향</w:t>
            </w:r>
          </w:p>
        </w:tc>
        <w:tc>
          <w:tcPr>
            <w:tcW w:type="dxa" w:w="29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KRX Open API 에 구성종목 이력이 없어 크기를 잴 수 없다</w:t>
            </w:r>
          </w:p>
        </w:tc>
        <w:tc>
          <w:tcPr>
            <w:tcW w:type="dxa" w:w="322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구성종목 이력을 확보하면 같은 검증 엔진으로 잰다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세 차수의 주제가 모두 “개발 및 성과 검증”으로 끝난다. 매번 새로 만드는 것은 앞쪽이고 검증하는 방법은 같다. 1차에서 검증 엔진과 데이터 계층을 재사용 가능하게 분리해 두었으므로, 2·3차는 아래 자리에 붙는다.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94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차수</w:t>
            </w:r>
          </w:p>
        </w:tc>
        <w:tc>
          <w:tcPr>
            <w:tcW w:type="dxa" w:w="252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새로 만드나</w:t>
            </w:r>
          </w:p>
        </w:tc>
        <w:tc>
          <w:tcPr>
            <w:tcW w:type="dxa" w:w="236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1차에서 그대로 가져가는 것</w:t>
            </w:r>
          </w:p>
        </w:tc>
        <w:tc>
          <w:tcPr>
            <w:tcW w:type="dxa" w:w="267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계층에서 붙는 자리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기반 등락 예측 + 성과 검증 엔진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as_of 공급 계층 · 팀 데이터셋 반출 · 갱신 파이프라인 · 텍스트 신호(공시 제목)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2차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 종목 신호를 여러 종목 배분으로 넓힌다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(비LLM 에이전트 · 강화학습 후보)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 · 수집 계층 · 시점정합 규칙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관측 배열 규격 (W×F) — 환경이 그대로 읽는다 · 재무 · 거시 · 공시 피처</w:t>
            </w:r>
          </w:p>
        </w:tc>
      </w:tr>
      <w:tr>
        <w:tc>
          <w:tcPr>
            <w:tcW w:type="dxa" w:w="94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3차</w:t>
            </w:r>
          </w:p>
        </w:tc>
        <w:tc>
          <w:tcPr>
            <w:tcW w:type="dxa" w:w="252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기성 지표(RSI·MACD) 자리를 우리가 만든 지표로 바꾼다</w:t>
            </w:r>
          </w:p>
        </w:tc>
        <w:tc>
          <w:tcPr>
            <w:tcW w:type="dxa" w:w="236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 · 피처 계약 · 실험 기록 규약</w:t>
            </w:r>
          </w:p>
        </w:tc>
        <w:tc>
          <w:tcPr>
            <w:tcW w:type="dxa" w:w="267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텍스트 신호 확장(본문) · 대안데이터 팩터 게이트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하락 예측을 실제 포지션으로 쓰는 {−1, 0, +1} 은 선정 기준부터 새 ADR 로 정한다. KOSDAQ 으로 넓힐 때는 반출본에 이미 있는 스팩·관리종목 구분 칸을 유니버스에 적용한다.</w:t>
      </w:r>
    </w:p>
    <w:sectPr>
      <w:pgSz w:w="11905" w:h="16837"/>
      <w:pgMar w:top="1134" w:right="1700" w:bottom="1134" w:left="1700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3BB" w:rsidRDefault="00D613BB" w:rsidP="00994D65">
      <w:pPr>
        <w:spacing w:line="240" w:lineRule="auto"/>
      </w:pPr>
      <w:r>
        <w:separator/>
      </w:r>
    </w:p>
  </w:endnote>
  <w:endnote w:type="continuationSeparator" w:id="0">
    <w:p w:rsidR="00D613BB" w:rsidRDefault="00D613BB" w:rsidP="0099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pitch w:val="default"/>
    <w:sig w:usb0="F70006FF" w:usb1="11DFFFFF" w:usb2="001BFDD7" w:usb3="00000001" w:csb0="001F007F" w:csb1="00000001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3BB" w:rsidRDefault="00D613BB" w:rsidP="00994D65">
      <w:pPr>
        <w:spacing w:line="240" w:lineRule="auto"/>
      </w:pPr>
      <w:r>
        <w:separator/>
      </w:r>
    </w:p>
  </w:footnote>
  <w:footnote w:type="continuationSeparator" w:id="0">
    <w:p w:rsidR="00D613BB" w:rsidRDefault="00D613BB" w:rsidP="00994D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2F65"/>
    <w:multiLevelType w:val="hybridMultilevel"/>
    <w:tmpl w:val="6F14E8A4"/>
    <w:lvl w:ilvl="0" w:tplc="9E28D54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FD2886"/>
    <w:multiLevelType w:val="hybridMultilevel"/>
    <w:tmpl w:val="B6184614"/>
    <w:lvl w:ilvl="0" w:tplc="E6F84BD4">
      <w:start w:val="1"/>
      <w:numFmt w:val="decimal"/>
      <w:pStyle w:val="1"/>
      <w:suff w:val="nothing"/>
      <w:lvlText w:val="%1."/>
      <w:lvlJc w:val="left"/>
      <w:pPr>
        <w:ind w:left="0" w:hanging="50"/>
      </w:pPr>
    </w:lvl>
    <w:lvl w:ilvl="1" w:tplc="97A297A4">
      <w:start w:val="1"/>
      <w:numFmt w:val="ganada"/>
      <w:pStyle w:val="2"/>
      <w:suff w:val="nothing"/>
      <w:lvlText w:val="%2."/>
      <w:lvlJc w:val="left"/>
      <w:pPr>
        <w:ind w:left="0" w:hanging="50"/>
      </w:pPr>
    </w:lvl>
    <w:lvl w:ilvl="2" w:tplc="18FE3C52">
      <w:start w:val="1"/>
      <w:numFmt w:val="decimal"/>
      <w:pStyle w:val="3"/>
      <w:suff w:val="nothing"/>
      <w:lvlText w:val="%3)"/>
      <w:lvlJc w:val="left"/>
      <w:pPr>
        <w:ind w:left="0" w:hanging="50"/>
      </w:pPr>
    </w:lvl>
    <w:lvl w:ilvl="3" w:tplc="8D2E8202">
      <w:start w:val="1"/>
      <w:numFmt w:val="ganada"/>
      <w:pStyle w:val="4"/>
      <w:suff w:val="nothing"/>
      <w:lvlText w:val="%4)"/>
      <w:lvlJc w:val="left"/>
      <w:pPr>
        <w:ind w:left="0" w:hanging="50"/>
      </w:pPr>
    </w:lvl>
    <w:lvl w:ilvl="4" w:tplc="2A963C1E">
      <w:start w:val="1"/>
      <w:numFmt w:val="decimal"/>
      <w:pStyle w:val="5"/>
      <w:suff w:val="nothing"/>
      <w:lvlText w:val="(%5)"/>
      <w:lvlJc w:val="left"/>
      <w:pPr>
        <w:ind w:left="0" w:hanging="50"/>
      </w:pPr>
    </w:lvl>
    <w:lvl w:ilvl="5" w:tplc="DD1ADD4A">
      <w:start w:val="1"/>
      <w:numFmt w:val="ganada"/>
      <w:pStyle w:val="6"/>
      <w:suff w:val="nothing"/>
      <w:lvlText w:val="(%6)"/>
      <w:lvlJc w:val="left"/>
      <w:pPr>
        <w:ind w:left="0" w:hanging="50"/>
      </w:pPr>
    </w:lvl>
    <w:lvl w:ilvl="6" w:tplc="13A29624">
      <w:start w:val="1"/>
      <w:numFmt w:val="decimalEnclosedCircle"/>
      <w:pStyle w:val="7"/>
      <w:suff w:val="nothing"/>
      <w:lvlText w:val="%7"/>
      <w:lvlJc w:val="left"/>
      <w:pPr>
        <w:ind w:left="0" w:hanging="50"/>
      </w:pPr>
    </w:lvl>
    <w:lvl w:ilvl="7" w:tplc="7D048ADE">
      <w:numFmt w:val="decimal"/>
      <w:lvlText w:val=""/>
      <w:lvlJc w:val="left"/>
    </w:lvl>
    <w:lvl w:ilvl="8" w:tplc="078A8BEA">
      <w:numFmt w:val="decimal"/>
      <w:lvlText w:val=""/>
      <w:lvlJc w:val="left"/>
    </w:lvl>
  </w:abstractNum>
  <w:abstractNum w:abstractNumId="2" w15:restartNumberingAfterBreak="0">
    <w:nsid w:val="3EE93B16"/>
    <w:multiLevelType w:val="hybridMultilevel"/>
    <w:tmpl w:val="081EBA28"/>
    <w:lvl w:ilvl="0" w:tplc="F38AB3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FAC3F77"/>
    <w:multiLevelType w:val="hybridMultilevel"/>
    <w:tmpl w:val="90E4F5FC"/>
    <w:lvl w:ilvl="0" w:tplc="AC78EA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displayBackgroundShape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100"/>
    <w:rsid w:val="000F7700"/>
    <w:rsid w:val="0016300A"/>
    <w:rsid w:val="00292046"/>
    <w:rsid w:val="004107B6"/>
    <w:rsid w:val="00707E06"/>
    <w:rsid w:val="00733195"/>
    <w:rsid w:val="008A7087"/>
    <w:rsid w:val="00904100"/>
    <w:rsid w:val="00994D65"/>
    <w:rsid w:val="00CE70F4"/>
    <w:rsid w:val="00D613BB"/>
    <w:rsid w:val="00FE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37FA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Times New Roman" w:cs="Times New Roman"/>
        <w:color w:val="000000"/>
        <w:lang w:val="en-US" w:eastAsia="ko-KR" w:bidi="ar-SA"/>
      </w:rPr>
    </w:rPrDefault>
    <w:pPrDefault>
      <w:pPr>
        <w:wordWrap w:val="0"/>
        <w:spacing w:line="288" w:lineRule="auto"/>
        <w:jc w:val="both"/>
        <w:textAlignment w:val="baseline"/>
      </w:pPr>
    </w:pPrDefault>
  </w:docDefaults>
  <w:latentStyles w:defLockedState="1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9" w:unhideWhenUsed="1" w:qFormat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7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3" w:qFormat="1"/>
    <w:lsdException w:name="Closing" w:semiHidden="1" w:uiPriority="99" w:unhideWhenUsed="1"/>
    <w:lsdException w:name="Signature" w:semiHidden="1" w:uiPriority="99" w:unhideWhenUsed="1"/>
    <w:lsdException w:name="Default Paragraph Font" w:uiPriority="22" w:qFormat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semiHidden="1" w:uiPriority="1" w:unhideWhenUsed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23" w:qFormat="1"/>
    <w:lsdException w:name="Emphasis" w:uiPriority="52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0" w:qFormat="1"/>
    <w:lsdException w:name="Table Theme" w:semiHidden="1" w:uiPriority="99" w:unhideWhenUsed="1"/>
    <w:lsdException w:name="No Spacing" w:semiHidden="1" w:uiPriority="99"/>
    <w:lsdException w:name="Light Shading" w:uiPriority="1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99"/>
    <w:lsdException w:name="Quote" w:uiPriority="82" w:qFormat="1"/>
    <w:lsdException w:name="Intense Quote" w:uiPriority="65" w:qFormat="1"/>
    <w:lsdException w:name="Medium List 2 Accent 1" w:uiPriority="72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Emphasis" w:uiPriority="37" w:qFormat="1"/>
    <w:lsdException w:name="Subtle Reference" w:uiPriority="51" w:qFormat="1"/>
    <w:lsdException w:name="Intense Reference" w:uiPriority="73" w:qFormat="1"/>
    <w:lsdException w:name="Book Title" w:uiPriority="80" w:qFormat="1"/>
    <w:lsdException w:name="Bibliography" w:uiPriority="81" w:qFormat="1"/>
    <w:lsdException w:name="TOC Heading" w:semiHidden="1" w:uiPriority="87" w:unhideWhenUsed="1" w:qFormat="1"/>
  </w:latentStyles>
  <w:style w:type="paragraph" w:default="1" w:styleId="a">
    <w:name w:val="Normal"/>
  </w:style>
  <w:style w:type="paragraph" w:styleId="10">
    <w:name w:val="heading 1"/>
    <w:pPr>
      <w:keepNext/>
      <w:outlineLvl w:val="0"/>
    </w:pPr>
    <w:rPr>
      <w:sz w:val="28"/>
    </w:rPr>
  </w:style>
  <w:style w:type="paragraph" w:styleId="20">
    <w:name w:val="heading 2"/>
    <w:pPr>
      <w:keepNext/>
      <w:outlineLvl w:val="1"/>
    </w:pPr>
  </w:style>
  <w:style w:type="paragraph" w:styleId="30">
    <w:name w:val="heading 3"/>
    <w:pPr>
      <w:keepNext/>
      <w:ind w:left="1400" w:hanging="400"/>
      <w:outlineLvl w:val="2"/>
    </w:pPr>
  </w:style>
  <w:style w:type="paragraph" w:styleId="40">
    <w:name w:val="heading 4"/>
    <w:pPr>
      <w:keepNext/>
      <w:ind w:left="1600" w:hanging="400"/>
      <w:outlineLvl w:val="3"/>
    </w:pPr>
    <w:rPr>
      <w:b/>
      <w:bCs/>
    </w:rPr>
  </w:style>
  <w:style w:type="paragraph" w:styleId="50">
    <w:name w:val="heading 5"/>
    <w:pPr>
      <w:keepNext/>
      <w:ind w:left="1800" w:hanging="400"/>
      <w:outlineLvl w:val="4"/>
    </w:pPr>
  </w:style>
  <w:style w:type="paragraph" w:styleId="60">
    <w:name w:val="heading 6"/>
    <w:pPr>
      <w:keepNext/>
      <w:ind w:left="2000" w:hanging="400"/>
      <w:outlineLvl w:val="5"/>
    </w:pPr>
    <w:rPr>
      <w:b/>
      <w:bCs/>
    </w:rPr>
  </w:style>
  <w:style w:type="paragraph" w:styleId="70">
    <w:name w:val="heading 7"/>
    <w:pPr>
      <w:keepNext/>
      <w:ind w:left="2200" w:hanging="400"/>
      <w:outlineLvl w:val="6"/>
    </w:pPr>
  </w:style>
  <w:style w:type="paragraph" w:styleId="8">
    <w:name w:val="heading 8"/>
    <w:pPr>
      <w:keepNext/>
      <w:ind w:left="2400" w:hanging="400"/>
      <w:outlineLvl w:val="7"/>
    </w:pPr>
  </w:style>
  <w:style w:type="paragraph" w:styleId="9">
    <w:name w:val="heading 9"/>
    <w:pPr>
      <w:keepNext/>
      <w:ind w:left="2600" w:hanging="4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pPr>
      <w:spacing w:line="180" w:lineRule="auto"/>
    </w:pPr>
  </w:style>
  <w:style w:type="paragraph" w:styleId="a4">
    <w:name w:val="Title"/>
    <w:pPr>
      <w:spacing w:before="240" w:after="120"/>
      <w:jc w:val="center"/>
    </w:pPr>
    <w:rPr>
      <w:b/>
      <w:bCs/>
      <w:sz w:val="32"/>
    </w:rPr>
  </w:style>
  <w:style w:type="paragraph" w:styleId="a5">
    <w:name w:val="Subtitle"/>
    <w:pPr>
      <w:spacing w:after="60"/>
      <w:jc w:val="center"/>
    </w:pPr>
    <w:rPr>
      <w:sz w:val="24"/>
    </w:rPr>
  </w:style>
  <w:style w:type="paragraph" w:styleId="a6">
    <w:name w:val="Quote"/>
    <w:pPr>
      <w:spacing w:before="200"/>
      <w:ind w:left="864" w:right="864"/>
      <w:jc w:val="center"/>
    </w:pPr>
    <w:rPr>
      <w:i/>
      <w:iCs/>
      <w:color w:val="404040"/>
    </w:rPr>
  </w:style>
  <w:style w:type="paragraph" w:styleId="a7">
    <w:name w:val="Intense Quote"/>
    <w:pPr>
      <w:pBdr>
        <w:top w:val="single" w:sz="2" w:space="10" w:color="5B9BD5"/>
        <w:bottom w:val="single" w:sz="2" w:space="10" w:color="5B9BD5"/>
      </w:pBdr>
      <w:spacing w:before="360" w:after="360"/>
      <w:ind w:left="864" w:right="864"/>
      <w:jc w:val="center"/>
    </w:pPr>
    <w:rPr>
      <w:i/>
      <w:iCs/>
      <w:color w:val="5B9BD5"/>
    </w:rPr>
  </w:style>
  <w:style w:type="paragraph" w:customStyle="1" w:styleId="11">
    <w:name w:val="목록 단락1"/>
    <w:pPr>
      <w:ind w:left="850"/>
    </w:pPr>
  </w:style>
  <w:style w:type="paragraph" w:styleId="TOC">
    <w:name w:val="TOC Heading"/>
    <w:pPr>
      <w:jc w:val="left"/>
    </w:pPr>
    <w:rPr>
      <w:sz w:val="28"/>
    </w:rPr>
  </w:style>
  <w:style w:type="paragraph" w:styleId="12">
    <w:name w:val="toc 1"/>
  </w:style>
  <w:style w:type="paragraph" w:styleId="21">
    <w:name w:val="toc 2"/>
    <w:pPr>
      <w:ind w:left="425"/>
    </w:pPr>
  </w:style>
  <w:style w:type="paragraph" w:styleId="31">
    <w:name w:val="toc 3"/>
    <w:pPr>
      <w:ind w:left="850"/>
    </w:pPr>
  </w:style>
  <w:style w:type="paragraph" w:styleId="41">
    <w:name w:val="toc 4"/>
    <w:pPr>
      <w:ind w:left="1275"/>
    </w:pPr>
  </w:style>
  <w:style w:type="paragraph" w:styleId="51">
    <w:name w:val="toc 5"/>
    <w:pPr>
      <w:ind w:left="1700"/>
    </w:pPr>
  </w:style>
  <w:style w:type="paragraph" w:styleId="61">
    <w:name w:val="toc 6"/>
    <w:pPr>
      <w:ind w:left="2125"/>
    </w:pPr>
  </w:style>
  <w:style w:type="paragraph" w:styleId="71">
    <w:name w:val="toc 7"/>
    <w:pPr>
      <w:ind w:left="2550"/>
    </w:pPr>
  </w:style>
  <w:style w:type="paragraph" w:styleId="80">
    <w:name w:val="toc 8"/>
    <w:pPr>
      <w:ind w:left="2975"/>
    </w:pPr>
  </w:style>
  <w:style w:type="paragraph" w:styleId="90">
    <w:name w:val="toc 9"/>
    <w:pPr>
      <w:ind w:left="3400"/>
    </w:pPr>
  </w:style>
  <w:style w:type="paragraph" w:styleId="a8">
    <w:name w:val="Body Text"/>
    <w:pPr>
      <w:ind w:left="300"/>
    </w:pPr>
    <w:rPr>
      <w:rFonts w:ascii="함초롬바탕" w:eastAsia="함초롬바탕"/>
    </w:rPr>
  </w:style>
  <w:style w:type="paragraph" w:customStyle="1" w:styleId="1">
    <w:name w:val="개요 1"/>
    <w:pPr>
      <w:numPr>
        <w:numId w:val="3"/>
      </w:numPr>
      <w:ind w:left="200" w:firstLine="0"/>
    </w:pPr>
    <w:rPr>
      <w:rFonts w:ascii="함초롬바탕" w:eastAsia="함초롬바탕"/>
    </w:rPr>
  </w:style>
  <w:style w:type="paragraph" w:customStyle="1" w:styleId="2">
    <w:name w:val="개요 2"/>
    <w:pPr>
      <w:numPr>
        <w:ilvl w:val="1"/>
        <w:numId w:val="3"/>
      </w:numPr>
      <w:ind w:left="400" w:firstLine="0"/>
    </w:pPr>
    <w:rPr>
      <w:rFonts w:ascii="함초롬바탕" w:eastAsia="함초롬바탕"/>
    </w:rPr>
  </w:style>
  <w:style w:type="paragraph" w:customStyle="1" w:styleId="3">
    <w:name w:val="개요 3"/>
    <w:pPr>
      <w:numPr>
        <w:ilvl w:val="2"/>
        <w:numId w:val="3"/>
      </w:numPr>
      <w:ind w:left="600" w:firstLine="0"/>
    </w:pPr>
    <w:rPr>
      <w:rFonts w:ascii="함초롬바탕" w:eastAsia="함초롬바탕"/>
    </w:rPr>
  </w:style>
  <w:style w:type="paragraph" w:customStyle="1" w:styleId="4">
    <w:name w:val="개요 4"/>
    <w:pPr>
      <w:numPr>
        <w:ilvl w:val="3"/>
        <w:numId w:val="3"/>
      </w:numPr>
      <w:ind w:left="800" w:firstLine="0"/>
    </w:pPr>
    <w:rPr>
      <w:rFonts w:ascii="함초롬바탕" w:eastAsia="함초롬바탕"/>
    </w:rPr>
  </w:style>
  <w:style w:type="paragraph" w:customStyle="1" w:styleId="5">
    <w:name w:val="개요 5"/>
    <w:pPr>
      <w:numPr>
        <w:ilvl w:val="4"/>
        <w:numId w:val="3"/>
      </w:numPr>
      <w:ind w:left="1000" w:firstLine="0"/>
    </w:pPr>
    <w:rPr>
      <w:rFonts w:ascii="함초롬바탕" w:eastAsia="함초롬바탕"/>
    </w:rPr>
  </w:style>
  <w:style w:type="paragraph" w:customStyle="1" w:styleId="6">
    <w:name w:val="개요 6"/>
    <w:pPr>
      <w:numPr>
        <w:ilvl w:val="5"/>
        <w:numId w:val="3"/>
      </w:numPr>
      <w:ind w:left="1200" w:firstLine="0"/>
    </w:pPr>
    <w:rPr>
      <w:rFonts w:ascii="함초롬바탕" w:eastAsia="함초롬바탕"/>
    </w:rPr>
  </w:style>
  <w:style w:type="paragraph" w:customStyle="1" w:styleId="7">
    <w:name w:val="개요 7"/>
    <w:pPr>
      <w:numPr>
        <w:ilvl w:val="6"/>
        <w:numId w:val="3"/>
      </w:numPr>
      <w:ind w:left="1400" w:firstLine="0"/>
    </w:pPr>
    <w:rPr>
      <w:rFonts w:ascii="함초롬바탕" w:eastAsia="함초롬바탕"/>
    </w:rPr>
  </w:style>
  <w:style w:type="paragraph" w:customStyle="1" w:styleId="a9">
    <w:name w:val="머리말"/>
    <w:pPr>
      <w:wordWrap/>
      <w:spacing w:line="270" w:lineRule="auto"/>
    </w:pPr>
    <w:rPr>
      <w:rFonts w:ascii="함초롬돋움" w:eastAsia="함초롬돋움"/>
      <w:sz w:val="18"/>
    </w:rPr>
  </w:style>
  <w:style w:type="paragraph" w:customStyle="1" w:styleId="aa">
    <w:name w:val="각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b">
    <w:name w:val="미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c">
    <w:name w:val="메모"/>
    <w:pPr>
      <w:wordWrap/>
      <w:spacing w:line="234" w:lineRule="auto"/>
      <w:jc w:val="left"/>
    </w:pPr>
    <w:rPr>
      <w:rFonts w:ascii="함초롬돋움" w:eastAsia="함초롬돋움"/>
      <w:spacing w:val="-9"/>
      <w:sz w:val="18"/>
    </w:rPr>
  </w:style>
  <w:style w:type="paragraph" w:customStyle="1" w:styleId="13">
    <w:name w:val="차례 1"/>
    <w:pPr>
      <w:wordWrap/>
      <w:spacing w:after="140"/>
      <w:jc w:val="left"/>
    </w:pPr>
    <w:rPr>
      <w:rFonts w:ascii="함초롬돋움" w:eastAsia="함초롬돋움"/>
      <w:sz w:val="22"/>
    </w:rPr>
  </w:style>
  <w:style w:type="paragraph" w:customStyle="1" w:styleId="22">
    <w:name w:val="차례 2"/>
    <w:pPr>
      <w:wordWrap/>
      <w:spacing w:after="140"/>
      <w:ind w:left="220"/>
      <w:jc w:val="left"/>
    </w:pPr>
    <w:rPr>
      <w:rFonts w:ascii="함초롬돋움" w:eastAsia="함초롬돋움"/>
      <w:sz w:val="22"/>
    </w:rPr>
  </w:style>
  <w:style w:type="paragraph" w:customStyle="1" w:styleId="32">
    <w:name w:val="차례 3"/>
    <w:pPr>
      <w:wordWrap/>
      <w:spacing w:after="140"/>
      <w:ind w:left="440"/>
      <w:jc w:val="left"/>
    </w:pPr>
    <w:rPr>
      <w:rFonts w:ascii="함초롬돋움" w:eastAsia="함초롬돋움"/>
      <w:sz w:val="22"/>
    </w:rPr>
  </w:style>
  <w:style w:type="character" w:styleId="ad">
    <w:name w:val="Subtle Emphasis"/>
    <w:rPr>
      <w:rFonts w:ascii="맑은 고딕" w:eastAsia="맑은 고딕"/>
      <w:i/>
      <w:iCs/>
      <w:color w:val="404040"/>
      <w:spacing w:val="0"/>
      <w:w w:val="100"/>
      <w:position w:val="0"/>
      <w:sz w:val="20"/>
    </w:rPr>
  </w:style>
  <w:style w:type="character" w:styleId="ae">
    <w:name w:val="Emphasis"/>
    <w:rPr>
      <w:rFonts w:ascii="맑은 고딕" w:eastAsia="맑은 고딕"/>
      <w:i/>
      <w:iCs/>
      <w:color w:val="000000"/>
      <w:spacing w:val="0"/>
      <w:w w:val="100"/>
      <w:position w:val="0"/>
      <w:sz w:val="20"/>
    </w:rPr>
  </w:style>
  <w:style w:type="character" w:styleId="af">
    <w:name w:val="Intense Emphasis"/>
    <w:rPr>
      <w:rFonts w:ascii="맑은 고딕" w:eastAsia="맑은 고딕"/>
      <w:i/>
      <w:iCs/>
      <w:color w:val="5B9BD5"/>
      <w:spacing w:val="0"/>
      <w:w w:val="100"/>
      <w:position w:val="0"/>
      <w:sz w:val="20"/>
    </w:rPr>
  </w:style>
  <w:style w:type="character" w:styleId="af0">
    <w:name w:val="Strong"/>
    <w:rPr>
      <w:rFonts w:ascii="맑은 고딕" w:eastAsia="맑은 고딕"/>
      <w:b/>
      <w:bCs/>
      <w:color w:val="000000"/>
      <w:spacing w:val="0"/>
      <w:w w:val="100"/>
      <w:position w:val="0"/>
      <w:sz w:val="20"/>
    </w:rPr>
  </w:style>
  <w:style w:type="character" w:styleId="af1">
    <w:name w:val="Subtle Reference"/>
    <w:rPr>
      <w:rFonts w:ascii="맑은 고딕" w:eastAsia="맑은 고딕"/>
      <w:color w:val="5A5A5A"/>
      <w:spacing w:val="0"/>
      <w:w w:val="100"/>
      <w:position w:val="0"/>
      <w:sz w:val="20"/>
    </w:rPr>
  </w:style>
  <w:style w:type="character" w:styleId="af2">
    <w:name w:val="Intense Reference"/>
    <w:rPr>
      <w:rFonts w:ascii="맑은 고딕" w:eastAsia="맑은 고딕"/>
      <w:b/>
      <w:bCs/>
      <w:color w:val="5B9BD5"/>
      <w:spacing w:val="0"/>
      <w:w w:val="100"/>
      <w:position w:val="0"/>
      <w:sz w:val="20"/>
    </w:rPr>
  </w:style>
  <w:style w:type="character" w:styleId="af3">
    <w:name w:val="Book Title"/>
    <w:rPr>
      <w:rFonts w:ascii="맑은 고딕" w:eastAsia="맑은 고딕"/>
      <w:b/>
      <w:bCs/>
      <w:i/>
      <w:iCs/>
      <w:color w:val="000000"/>
      <w:spacing w:val="0"/>
      <w:w w:val="100"/>
      <w:position w:val="0"/>
      <w:sz w:val="20"/>
    </w:rPr>
  </w:style>
  <w:style w:type="character" w:customStyle="1" w:styleId="af4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styleId="af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5"/>
    <w:uiPriority w:val="99"/>
  </w:style>
  <w:style w:type="paragraph" w:styleId="af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시스템 구축 프로젝트 계획서 양식</vt:lpstr>
    </vt:vector>
  </TitlesOfParts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구축 프로젝트 계획서 양식</dc:title>
  <dc:subject/>
  <dc:creator/>
  <cp:keywords/>
  <dc:description/>
  <cp:lastModifiedBy/>
  <cp:revision>1</cp:revision>
  <dcterms:created xsi:type="dcterms:W3CDTF">2023-09-19T23:58:00Z</dcterms:created>
  <dcterms:modified xsi:type="dcterms:W3CDTF">2026-08-24T05:22:00Z</dcterms:modified>
  <cp:version>1100.0100.01</cp:version>
</cp:coreProperties>
</file>